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C2C0" w14:textId="77777777" w:rsidR="0099080C" w:rsidRDefault="0058692F">
      <w:pPr>
        <w:spacing w:before="80" w:line="230" w:lineRule="exact"/>
        <w:ind w:left="1125" w:right="1085"/>
        <w:jc w:val="center"/>
        <w:rPr>
          <w:b/>
          <w:sz w:val="20"/>
        </w:rPr>
      </w:pPr>
      <w:r>
        <w:rPr>
          <w:b/>
          <w:sz w:val="20"/>
        </w:rPr>
        <w:t>NEW MEXICO STATE UNIVERSITY</w:t>
      </w:r>
    </w:p>
    <w:p w14:paraId="4979E7B0" w14:textId="77777777" w:rsidR="0099080C" w:rsidRDefault="0058692F">
      <w:pPr>
        <w:spacing w:line="230" w:lineRule="exact"/>
        <w:ind w:left="1125" w:right="1085"/>
        <w:jc w:val="center"/>
        <w:rPr>
          <w:b/>
          <w:sz w:val="20"/>
        </w:rPr>
      </w:pPr>
      <w:r>
        <w:rPr>
          <w:b/>
          <w:sz w:val="20"/>
        </w:rPr>
        <w:t>APA Designated Post-Doctoral Education &amp; Training in Clinical Psychopharmacology</w:t>
      </w:r>
    </w:p>
    <w:p w14:paraId="64BA1DA8" w14:textId="77777777" w:rsidR="0099080C" w:rsidRDefault="0099080C">
      <w:pPr>
        <w:pStyle w:val="BodyText"/>
        <w:spacing w:before="1"/>
        <w:rPr>
          <w:b/>
        </w:rPr>
      </w:pPr>
    </w:p>
    <w:p w14:paraId="5310A440" w14:textId="77777777" w:rsidR="0099080C" w:rsidRDefault="0058692F">
      <w:pPr>
        <w:spacing w:line="230" w:lineRule="exact"/>
        <w:ind w:left="1124" w:right="1085"/>
        <w:jc w:val="center"/>
        <w:rPr>
          <w:b/>
          <w:sz w:val="20"/>
        </w:rPr>
      </w:pPr>
      <w:r>
        <w:rPr>
          <w:b/>
          <w:sz w:val="20"/>
        </w:rPr>
        <w:t>COURSE OUTLINE</w:t>
      </w:r>
    </w:p>
    <w:p w14:paraId="407A0C82" w14:textId="77777777" w:rsidR="0099080C" w:rsidRDefault="0058692F">
      <w:pPr>
        <w:spacing w:line="230" w:lineRule="exact"/>
        <w:ind w:left="1123" w:right="1085"/>
        <w:jc w:val="center"/>
        <w:rPr>
          <w:b/>
          <w:sz w:val="20"/>
        </w:rPr>
      </w:pPr>
      <w:r>
        <w:rPr>
          <w:b/>
          <w:sz w:val="20"/>
          <w:u w:val="single"/>
        </w:rPr>
        <w:t>Class #15</w:t>
      </w:r>
    </w:p>
    <w:p w14:paraId="253EA83A" w14:textId="77777777" w:rsidR="0099080C" w:rsidRDefault="0099080C">
      <w:pPr>
        <w:pStyle w:val="BodyText"/>
        <w:spacing w:before="10"/>
        <w:rPr>
          <w:b/>
          <w:sz w:val="11"/>
        </w:rPr>
      </w:pPr>
    </w:p>
    <w:p w14:paraId="6FC87A1B" w14:textId="77777777" w:rsidR="0099080C" w:rsidRDefault="0058692F">
      <w:pPr>
        <w:tabs>
          <w:tab w:val="left" w:pos="3040"/>
        </w:tabs>
        <w:spacing w:before="92"/>
        <w:ind w:left="160"/>
        <w:rPr>
          <w:sz w:val="20"/>
        </w:rPr>
      </w:pPr>
      <w:r>
        <w:rPr>
          <w:b/>
          <w:sz w:val="20"/>
        </w:rPr>
        <w:t>Course</w:t>
      </w:r>
      <w:r>
        <w:rPr>
          <w:b/>
          <w:spacing w:val="-2"/>
          <w:sz w:val="20"/>
        </w:rPr>
        <w:t xml:space="preserve"> </w:t>
      </w:r>
      <w:r>
        <w:rPr>
          <w:b/>
          <w:sz w:val="20"/>
        </w:rPr>
        <w:t>#:</w:t>
      </w:r>
      <w:r>
        <w:rPr>
          <w:b/>
          <w:sz w:val="20"/>
        </w:rPr>
        <w:tab/>
      </w:r>
      <w:r>
        <w:rPr>
          <w:sz w:val="20"/>
        </w:rPr>
        <w:t>RXPP</w:t>
      </w:r>
      <w:r>
        <w:rPr>
          <w:spacing w:val="-1"/>
          <w:sz w:val="20"/>
        </w:rPr>
        <w:t xml:space="preserve"> </w:t>
      </w:r>
      <w:r>
        <w:rPr>
          <w:sz w:val="20"/>
        </w:rPr>
        <w:t>604</w:t>
      </w:r>
    </w:p>
    <w:p w14:paraId="7901511F" w14:textId="77777777" w:rsidR="0099080C" w:rsidRDefault="0099080C">
      <w:pPr>
        <w:pStyle w:val="BodyText"/>
      </w:pPr>
    </w:p>
    <w:p w14:paraId="42920115" w14:textId="77777777" w:rsidR="0099080C" w:rsidRDefault="0058692F">
      <w:pPr>
        <w:tabs>
          <w:tab w:val="left" w:pos="3040"/>
        </w:tabs>
        <w:ind w:left="160"/>
        <w:rPr>
          <w:sz w:val="20"/>
        </w:rPr>
      </w:pPr>
      <w:r>
        <w:rPr>
          <w:b/>
          <w:sz w:val="20"/>
        </w:rPr>
        <w:t>Official</w:t>
      </w:r>
      <w:r>
        <w:rPr>
          <w:b/>
          <w:spacing w:val="-3"/>
          <w:sz w:val="20"/>
        </w:rPr>
        <w:t xml:space="preserve"> </w:t>
      </w:r>
      <w:r>
        <w:rPr>
          <w:b/>
          <w:sz w:val="20"/>
        </w:rPr>
        <w:t>Title</w:t>
      </w:r>
      <w:r>
        <w:rPr>
          <w:sz w:val="20"/>
        </w:rPr>
        <w:t>:</w:t>
      </w:r>
      <w:r>
        <w:rPr>
          <w:sz w:val="20"/>
        </w:rPr>
        <w:tab/>
        <w:t>Clinical Psychopharmacology</w:t>
      </w:r>
      <w:r>
        <w:rPr>
          <w:spacing w:val="-3"/>
          <w:sz w:val="20"/>
        </w:rPr>
        <w:t xml:space="preserve"> </w:t>
      </w:r>
      <w:r>
        <w:rPr>
          <w:sz w:val="20"/>
        </w:rPr>
        <w:t>II</w:t>
      </w:r>
    </w:p>
    <w:p w14:paraId="76404EFA" w14:textId="77777777" w:rsidR="0099080C" w:rsidRDefault="0099080C">
      <w:pPr>
        <w:pStyle w:val="BodyText"/>
        <w:spacing w:before="11"/>
        <w:rPr>
          <w:sz w:val="19"/>
        </w:rPr>
      </w:pPr>
    </w:p>
    <w:p w14:paraId="1C22D08C" w14:textId="77777777" w:rsidR="0099080C" w:rsidRDefault="0058692F">
      <w:pPr>
        <w:pStyle w:val="BodyText"/>
        <w:tabs>
          <w:tab w:val="left" w:pos="3040"/>
        </w:tabs>
        <w:ind w:left="160"/>
      </w:pPr>
      <w:r>
        <w:rPr>
          <w:b/>
        </w:rPr>
        <w:t>Topic:</w:t>
      </w:r>
      <w:r>
        <w:rPr>
          <w:b/>
        </w:rPr>
        <w:tab/>
      </w:r>
      <w:r>
        <w:t>The Treatment of Bipolar Affective &amp; Post-Traumatic Stress</w:t>
      </w:r>
      <w:r>
        <w:rPr>
          <w:spacing w:val="-10"/>
        </w:rPr>
        <w:t xml:space="preserve"> </w:t>
      </w:r>
      <w:r>
        <w:t>Disorders</w:t>
      </w:r>
    </w:p>
    <w:p w14:paraId="7EA74AEB" w14:textId="77777777" w:rsidR="0099080C" w:rsidRDefault="0099080C">
      <w:pPr>
        <w:pStyle w:val="BodyText"/>
      </w:pPr>
    </w:p>
    <w:p w14:paraId="72F2252F" w14:textId="7630F300" w:rsidR="0099080C" w:rsidRDefault="0058692F">
      <w:pPr>
        <w:tabs>
          <w:tab w:val="left" w:pos="3040"/>
        </w:tabs>
        <w:ind w:left="160"/>
        <w:rPr>
          <w:sz w:val="20"/>
        </w:rPr>
      </w:pPr>
      <w:r>
        <w:rPr>
          <w:b/>
          <w:sz w:val="20"/>
        </w:rPr>
        <w:t>Credit</w:t>
      </w:r>
      <w:r>
        <w:rPr>
          <w:b/>
          <w:spacing w:val="-3"/>
          <w:sz w:val="20"/>
        </w:rPr>
        <w:t xml:space="preserve"> </w:t>
      </w:r>
      <w:r>
        <w:rPr>
          <w:b/>
          <w:sz w:val="20"/>
        </w:rPr>
        <w:t>Hours</w:t>
      </w:r>
      <w:r>
        <w:rPr>
          <w:sz w:val="20"/>
        </w:rPr>
        <w:t>:</w:t>
      </w:r>
      <w:r>
        <w:rPr>
          <w:sz w:val="20"/>
        </w:rPr>
        <w:tab/>
        <w:t>3.0</w:t>
      </w:r>
    </w:p>
    <w:p w14:paraId="4EE7324C" w14:textId="7E0B3224" w:rsidR="00A37B45" w:rsidRDefault="00A37B45">
      <w:pPr>
        <w:tabs>
          <w:tab w:val="left" w:pos="3040"/>
        </w:tabs>
        <w:ind w:left="160"/>
        <w:rPr>
          <w:sz w:val="20"/>
        </w:rPr>
      </w:pPr>
    </w:p>
    <w:p w14:paraId="2A372733" w14:textId="77777777" w:rsidR="00A37B45" w:rsidRPr="00A37B45" w:rsidRDefault="00A37B45" w:rsidP="00A37B45">
      <w:pPr>
        <w:tabs>
          <w:tab w:val="left" w:pos="3040"/>
        </w:tabs>
        <w:ind w:left="160"/>
        <w:rPr>
          <w:sz w:val="20"/>
        </w:rPr>
      </w:pPr>
      <w:r w:rsidRPr="00A37B45">
        <w:rPr>
          <w:b/>
          <w:sz w:val="20"/>
        </w:rPr>
        <w:t>Continuing Education:</w:t>
      </w:r>
      <w:r w:rsidRPr="00A37B45">
        <w:rPr>
          <w:sz w:val="20"/>
        </w:rPr>
        <w:t xml:space="preserve"> </w:t>
      </w:r>
      <w:r w:rsidRPr="00A37B45">
        <w:rPr>
          <w:sz w:val="20"/>
        </w:rPr>
        <w:tab/>
        <w:t>13.5 CE (Provided by SIAP, Sponsored by APA)</w:t>
      </w:r>
    </w:p>
    <w:p w14:paraId="20E7A8D8" w14:textId="77777777" w:rsidR="00A37B45" w:rsidRPr="00A37B45" w:rsidRDefault="00A37B45" w:rsidP="00A37B45">
      <w:pPr>
        <w:tabs>
          <w:tab w:val="left" w:pos="3040"/>
        </w:tabs>
        <w:ind w:left="160"/>
        <w:rPr>
          <w:sz w:val="20"/>
        </w:rPr>
      </w:pPr>
      <w:r w:rsidRPr="00A37B45">
        <w:rPr>
          <w:b/>
          <w:sz w:val="20"/>
        </w:rPr>
        <w:tab/>
      </w:r>
      <w:r w:rsidRPr="00A37B45">
        <w:rPr>
          <w:bCs/>
          <w:i/>
          <w:iCs/>
          <w:sz w:val="20"/>
        </w:rPr>
        <w:t>SIAP is approved by the American Psychological Association</w:t>
      </w:r>
    </w:p>
    <w:p w14:paraId="72452DB9" w14:textId="77777777" w:rsidR="00A37B45" w:rsidRPr="00A37B45" w:rsidRDefault="00A37B45" w:rsidP="00A37B45">
      <w:pPr>
        <w:tabs>
          <w:tab w:val="left" w:pos="3040"/>
        </w:tabs>
        <w:ind w:left="160"/>
        <w:rPr>
          <w:sz w:val="20"/>
        </w:rPr>
      </w:pPr>
      <w:r w:rsidRPr="00A37B45">
        <w:rPr>
          <w:bCs/>
          <w:i/>
          <w:iCs/>
          <w:sz w:val="20"/>
        </w:rPr>
        <w:tab/>
        <w:t>to sponsor continuing education for psychologists</w:t>
      </w:r>
    </w:p>
    <w:p w14:paraId="0E8F786E" w14:textId="5175FB85" w:rsidR="00A37B45" w:rsidRDefault="00A37B45" w:rsidP="00A37B45">
      <w:pPr>
        <w:tabs>
          <w:tab w:val="left" w:pos="3040"/>
        </w:tabs>
        <w:ind w:left="160"/>
        <w:rPr>
          <w:sz w:val="20"/>
        </w:rPr>
      </w:pPr>
      <w:r w:rsidRPr="00A37B45">
        <w:rPr>
          <w:bCs/>
          <w:i/>
          <w:iCs/>
          <w:sz w:val="20"/>
        </w:rPr>
        <w:tab/>
        <w:t>SIAP maintains responsibility for the program and its content</w:t>
      </w:r>
    </w:p>
    <w:p w14:paraId="4E897A2E" w14:textId="77777777" w:rsidR="0099080C" w:rsidRDefault="0099080C">
      <w:pPr>
        <w:pStyle w:val="BodyText"/>
        <w:spacing w:before="1"/>
      </w:pPr>
    </w:p>
    <w:p w14:paraId="1C66C534" w14:textId="420FAA6C" w:rsidR="0099080C" w:rsidRDefault="0058692F" w:rsidP="00A37B45">
      <w:pPr>
        <w:tabs>
          <w:tab w:val="left" w:pos="3040"/>
        </w:tabs>
        <w:spacing w:line="230" w:lineRule="exact"/>
        <w:ind w:left="160"/>
      </w:pPr>
      <w:r>
        <w:rPr>
          <w:b/>
          <w:sz w:val="20"/>
        </w:rPr>
        <w:t>Location:</w:t>
      </w:r>
      <w:r>
        <w:rPr>
          <w:b/>
          <w:sz w:val="20"/>
        </w:rPr>
        <w:tab/>
      </w:r>
      <w:r w:rsidR="00A37B45">
        <w:rPr>
          <w:sz w:val="20"/>
        </w:rPr>
        <w:t xml:space="preserve">Online only </w:t>
      </w:r>
      <w:hyperlink r:id="rId7" w:history="1">
        <w:r w:rsidR="00A37B45" w:rsidRPr="00F90941">
          <w:rPr>
            <w:rStyle w:val="Hyperlink"/>
            <w:sz w:val="20"/>
          </w:rPr>
          <w:t>http://nmsu.adobeconnect.com/psypharm</w:t>
        </w:r>
      </w:hyperlink>
      <w:r w:rsidR="00A37B45">
        <w:rPr>
          <w:sz w:val="20"/>
        </w:rPr>
        <w:t xml:space="preserve"> </w:t>
      </w:r>
    </w:p>
    <w:p w14:paraId="2DA81789" w14:textId="77777777" w:rsidR="0099080C" w:rsidRDefault="0099080C">
      <w:pPr>
        <w:pStyle w:val="BodyText"/>
      </w:pPr>
    </w:p>
    <w:p w14:paraId="033E19C4" w14:textId="0C8F12BD" w:rsidR="0099080C" w:rsidRDefault="0058692F" w:rsidP="00620209">
      <w:pPr>
        <w:tabs>
          <w:tab w:val="left" w:pos="3039"/>
        </w:tabs>
        <w:spacing w:line="230" w:lineRule="exact"/>
        <w:ind w:left="160"/>
      </w:pPr>
      <w:r>
        <w:rPr>
          <w:b/>
          <w:sz w:val="20"/>
        </w:rPr>
        <w:t>Class</w:t>
      </w:r>
      <w:r>
        <w:rPr>
          <w:b/>
          <w:spacing w:val="-3"/>
          <w:sz w:val="20"/>
        </w:rPr>
        <w:t xml:space="preserve"> </w:t>
      </w:r>
      <w:r>
        <w:rPr>
          <w:b/>
          <w:sz w:val="20"/>
        </w:rPr>
        <w:t>Meeting</w:t>
      </w:r>
      <w:r>
        <w:rPr>
          <w:b/>
          <w:spacing w:val="-2"/>
          <w:sz w:val="20"/>
        </w:rPr>
        <w:t xml:space="preserve"> </w:t>
      </w:r>
      <w:r>
        <w:rPr>
          <w:b/>
          <w:sz w:val="20"/>
        </w:rPr>
        <w:t>Dates</w:t>
      </w:r>
      <w:r>
        <w:rPr>
          <w:sz w:val="20"/>
        </w:rPr>
        <w:t>:</w:t>
      </w:r>
      <w:r>
        <w:rPr>
          <w:sz w:val="20"/>
        </w:rPr>
        <w:tab/>
        <w:t xml:space="preserve">Oct </w:t>
      </w:r>
      <w:r w:rsidR="00620209">
        <w:rPr>
          <w:sz w:val="20"/>
        </w:rPr>
        <w:t>17 &amp; 18</w:t>
      </w:r>
      <w:r>
        <w:rPr>
          <w:sz w:val="20"/>
        </w:rPr>
        <w:t xml:space="preserve">, </w:t>
      </w:r>
      <w:r w:rsidR="00126591">
        <w:rPr>
          <w:sz w:val="20"/>
        </w:rPr>
        <w:t>2020</w:t>
      </w:r>
      <w:r>
        <w:rPr>
          <w:sz w:val="20"/>
        </w:rPr>
        <w:t>,</w:t>
      </w:r>
      <w:r>
        <w:rPr>
          <w:spacing w:val="-4"/>
          <w:sz w:val="20"/>
        </w:rPr>
        <w:t xml:space="preserve"> </w:t>
      </w:r>
      <w:r>
        <w:rPr>
          <w:sz w:val="20"/>
        </w:rPr>
        <w:t>8:00am-6:00pm</w:t>
      </w:r>
      <w:r w:rsidR="00620209">
        <w:rPr>
          <w:sz w:val="20"/>
        </w:rPr>
        <w:t xml:space="preserve"> MDT</w:t>
      </w:r>
    </w:p>
    <w:p w14:paraId="006F1E8B" w14:textId="77777777" w:rsidR="0099080C" w:rsidRDefault="0099080C">
      <w:pPr>
        <w:pStyle w:val="BodyText"/>
      </w:pPr>
    </w:p>
    <w:p w14:paraId="41F35FAA" w14:textId="1D60004C" w:rsidR="0099080C" w:rsidRDefault="0058692F">
      <w:pPr>
        <w:pStyle w:val="BodyText"/>
        <w:tabs>
          <w:tab w:val="left" w:pos="3039"/>
        </w:tabs>
        <w:ind w:left="3040" w:right="3713" w:hanging="2880"/>
      </w:pPr>
      <w:r>
        <w:rPr>
          <w:b/>
        </w:rPr>
        <w:t>Instructor(s)</w:t>
      </w:r>
      <w:r>
        <w:t>:</w:t>
      </w:r>
      <w:r>
        <w:tab/>
        <w:t>Marlin Hoover, PhD, MSCP,</w:t>
      </w:r>
      <w:r w:rsidR="008B12A7">
        <w:t xml:space="preserve"> A</w:t>
      </w:r>
      <w:r>
        <w:t>BPP</w:t>
      </w:r>
      <w:r w:rsidR="008B12A7">
        <w:t xml:space="preserve"> </w:t>
      </w:r>
      <w:r>
        <w:t>Prescribing</w:t>
      </w:r>
      <w:r>
        <w:rPr>
          <w:spacing w:val="-2"/>
        </w:rPr>
        <w:t xml:space="preserve"> </w:t>
      </w:r>
      <w:r>
        <w:t>Psychologist</w:t>
      </w:r>
    </w:p>
    <w:p w14:paraId="30A9CAD4" w14:textId="77777777" w:rsidR="0099080C" w:rsidRDefault="0099080C">
      <w:pPr>
        <w:pStyle w:val="BodyText"/>
      </w:pPr>
    </w:p>
    <w:p w14:paraId="103F586D" w14:textId="77777777" w:rsidR="00AD559E" w:rsidRDefault="0058692F" w:rsidP="00AD559E">
      <w:pPr>
        <w:tabs>
          <w:tab w:val="left" w:pos="3039"/>
        </w:tabs>
        <w:ind w:left="160"/>
        <w:rPr>
          <w:i/>
          <w:iCs/>
          <w:sz w:val="20"/>
        </w:rPr>
      </w:pPr>
      <w:r>
        <w:rPr>
          <w:b/>
          <w:sz w:val="20"/>
        </w:rPr>
        <w:t>Required</w:t>
      </w:r>
      <w:r>
        <w:rPr>
          <w:b/>
          <w:spacing w:val="-3"/>
          <w:sz w:val="20"/>
        </w:rPr>
        <w:t xml:space="preserve"> </w:t>
      </w:r>
      <w:r>
        <w:rPr>
          <w:b/>
          <w:sz w:val="20"/>
        </w:rPr>
        <w:t>Text:</w:t>
      </w:r>
      <w:r>
        <w:rPr>
          <w:b/>
          <w:sz w:val="20"/>
        </w:rPr>
        <w:tab/>
      </w:r>
      <w:r w:rsidR="00AD559E" w:rsidRPr="00AD559E">
        <w:rPr>
          <w:sz w:val="20"/>
        </w:rPr>
        <w:t>Sadock, B., Sadock, V., Ruiz, P. (2017). </w:t>
      </w:r>
      <w:r w:rsidR="00AD559E" w:rsidRPr="00AD559E">
        <w:rPr>
          <w:i/>
          <w:iCs/>
          <w:sz w:val="20"/>
        </w:rPr>
        <w:t xml:space="preserve">Kaplan &amp; Sadock’s comprehensive </w:t>
      </w:r>
      <w:r w:rsidR="00AD559E">
        <w:rPr>
          <w:i/>
          <w:iCs/>
          <w:sz w:val="20"/>
        </w:rPr>
        <w:t xml:space="preserve">        </w:t>
      </w:r>
    </w:p>
    <w:p w14:paraId="4E4A72B1" w14:textId="21B00742" w:rsidR="00AD559E" w:rsidRDefault="00AD559E" w:rsidP="00AD559E">
      <w:pPr>
        <w:tabs>
          <w:tab w:val="left" w:pos="3039"/>
        </w:tabs>
        <w:ind w:left="160"/>
        <w:rPr>
          <w:sz w:val="20"/>
        </w:rPr>
      </w:pPr>
      <w:r>
        <w:rPr>
          <w:i/>
          <w:iCs/>
          <w:sz w:val="20"/>
        </w:rPr>
        <w:t xml:space="preserve">                         </w:t>
      </w:r>
      <w:r w:rsidR="00D358F7">
        <w:rPr>
          <w:i/>
          <w:iCs/>
          <w:sz w:val="20"/>
        </w:rPr>
        <w:t xml:space="preserve">                               </w:t>
      </w:r>
      <w:r w:rsidR="00D358F7">
        <w:rPr>
          <w:i/>
          <w:iCs/>
          <w:sz w:val="20"/>
        </w:rPr>
        <w:tab/>
      </w:r>
      <w:r w:rsidR="00D358F7">
        <w:rPr>
          <w:i/>
          <w:iCs/>
          <w:sz w:val="20"/>
        </w:rPr>
        <w:tab/>
      </w:r>
      <w:r w:rsidRPr="00AD559E">
        <w:rPr>
          <w:i/>
          <w:iCs/>
          <w:sz w:val="20"/>
        </w:rPr>
        <w:t>textbook of psychiatry </w:t>
      </w:r>
      <w:r w:rsidRPr="00AD559E">
        <w:rPr>
          <w:sz w:val="20"/>
        </w:rPr>
        <w:t>(10</w:t>
      </w:r>
      <w:r w:rsidRPr="00AD559E">
        <w:rPr>
          <w:sz w:val="20"/>
          <w:vertAlign w:val="superscript"/>
        </w:rPr>
        <w:t>th</w:t>
      </w:r>
      <w:r w:rsidRPr="00AD559E">
        <w:rPr>
          <w:sz w:val="20"/>
        </w:rPr>
        <w:t> ed). Wolters Kluwer.  </w:t>
      </w:r>
    </w:p>
    <w:p w14:paraId="396C2195" w14:textId="5D93720E" w:rsidR="00AD559E" w:rsidRDefault="00AD559E" w:rsidP="00AD559E">
      <w:pPr>
        <w:tabs>
          <w:tab w:val="left" w:pos="3039"/>
        </w:tabs>
        <w:ind w:left="160"/>
        <w:rPr>
          <w:sz w:val="20"/>
        </w:rPr>
      </w:pPr>
    </w:p>
    <w:p w14:paraId="7C8B7520" w14:textId="4DE9DAB3" w:rsidR="00A37B45" w:rsidRPr="00D358F7" w:rsidRDefault="00A37B45" w:rsidP="00A37B45">
      <w:pPr>
        <w:tabs>
          <w:tab w:val="left" w:pos="3039"/>
        </w:tabs>
        <w:ind w:left="3039"/>
        <w:rPr>
          <w:sz w:val="20"/>
          <w:u w:val="single"/>
        </w:rPr>
      </w:pPr>
      <w:r w:rsidRPr="00D358F7">
        <w:rPr>
          <w:sz w:val="20"/>
          <w:u w:val="single"/>
        </w:rPr>
        <w:t xml:space="preserve">Review: mood stabilizers &amp; </w:t>
      </w:r>
      <w:proofErr w:type="spellStart"/>
      <w:r w:rsidRPr="00D358F7">
        <w:rPr>
          <w:sz w:val="20"/>
          <w:u w:val="single"/>
        </w:rPr>
        <w:t>antimanics</w:t>
      </w:r>
      <w:proofErr w:type="spellEnd"/>
      <w:r w:rsidRPr="00D358F7">
        <w:rPr>
          <w:sz w:val="20"/>
          <w:u w:val="single"/>
        </w:rPr>
        <w:t>; antidepressants; Alpha and Beta Blockers.</w:t>
      </w:r>
    </w:p>
    <w:p w14:paraId="1F77E889" w14:textId="77777777" w:rsidR="00D358F7" w:rsidRPr="00AD559E" w:rsidRDefault="00D358F7" w:rsidP="00A37B45">
      <w:pPr>
        <w:tabs>
          <w:tab w:val="left" w:pos="3039"/>
        </w:tabs>
        <w:ind w:left="3039"/>
        <w:rPr>
          <w:sz w:val="20"/>
        </w:rPr>
      </w:pPr>
    </w:p>
    <w:p w14:paraId="171450C9" w14:textId="69257422" w:rsidR="00A77ABB" w:rsidRDefault="00AD559E" w:rsidP="00AD559E">
      <w:pPr>
        <w:tabs>
          <w:tab w:val="left" w:pos="3039"/>
        </w:tabs>
        <w:ind w:left="3039"/>
        <w:rPr>
          <w:i/>
          <w:iCs/>
          <w:sz w:val="20"/>
        </w:rPr>
      </w:pPr>
      <w:r w:rsidRPr="00AD559E">
        <w:rPr>
          <w:sz w:val="20"/>
        </w:rPr>
        <w:t>Stahl, S. M.</w:t>
      </w:r>
      <w:r w:rsidRPr="00AD559E">
        <w:rPr>
          <w:i/>
          <w:iCs/>
          <w:sz w:val="20"/>
        </w:rPr>
        <w:t> </w:t>
      </w:r>
      <w:r w:rsidRPr="00AD559E">
        <w:rPr>
          <w:sz w:val="20"/>
        </w:rPr>
        <w:t>(2017). </w:t>
      </w:r>
      <w:r w:rsidRPr="00AD559E">
        <w:rPr>
          <w:i/>
          <w:iCs/>
          <w:sz w:val="20"/>
        </w:rPr>
        <w:t>Prescr</w:t>
      </w:r>
      <w:r w:rsidR="00D358F7">
        <w:rPr>
          <w:i/>
          <w:iCs/>
          <w:sz w:val="20"/>
        </w:rPr>
        <w:t>iber's guide: Stahl's essential</w:t>
      </w:r>
      <w:r w:rsidR="00D358F7">
        <w:rPr>
          <w:i/>
          <w:iCs/>
          <w:sz w:val="20"/>
        </w:rPr>
        <w:tab/>
      </w:r>
      <w:r w:rsidRPr="00AD559E">
        <w:rPr>
          <w:i/>
          <w:iCs/>
          <w:sz w:val="20"/>
        </w:rPr>
        <w:t>psychopharmacology</w:t>
      </w:r>
      <w:r w:rsidRPr="00AD559E">
        <w:rPr>
          <w:sz w:val="20"/>
        </w:rPr>
        <w:t> (6th ed.). Cambridge</w:t>
      </w:r>
      <w:r w:rsidRPr="00AD559E">
        <w:rPr>
          <w:i/>
          <w:iCs/>
          <w:sz w:val="20"/>
        </w:rPr>
        <w:t>.</w:t>
      </w:r>
    </w:p>
    <w:p w14:paraId="43343FDF" w14:textId="31C8AF02" w:rsidR="00D358F7" w:rsidRDefault="00D358F7" w:rsidP="00AD559E">
      <w:pPr>
        <w:tabs>
          <w:tab w:val="left" w:pos="3039"/>
        </w:tabs>
        <w:ind w:left="3039"/>
        <w:rPr>
          <w:i/>
          <w:iCs/>
          <w:sz w:val="20"/>
        </w:rPr>
      </w:pPr>
    </w:p>
    <w:p w14:paraId="7AEEA63B" w14:textId="788422D6" w:rsidR="00D358F7" w:rsidRPr="00D358F7" w:rsidRDefault="00D358F7" w:rsidP="00D358F7">
      <w:pPr>
        <w:tabs>
          <w:tab w:val="left" w:pos="3039"/>
        </w:tabs>
        <w:ind w:left="3039"/>
        <w:rPr>
          <w:iCs/>
          <w:sz w:val="20"/>
          <w:u w:val="single"/>
        </w:rPr>
      </w:pPr>
      <w:r w:rsidRPr="00D358F7">
        <w:rPr>
          <w:iCs/>
          <w:sz w:val="20"/>
          <w:u w:val="single"/>
        </w:rPr>
        <w:t>Review: Chapter 13 - Sections 13.3, 13.7, 13.9, &amp; Chapter 17</w:t>
      </w:r>
    </w:p>
    <w:p w14:paraId="44B3E6F1" w14:textId="77777777" w:rsidR="00A77ABB" w:rsidRPr="00A77ABB" w:rsidRDefault="00A77ABB">
      <w:pPr>
        <w:ind w:left="3040" w:right="1297" w:hanging="1"/>
        <w:rPr>
          <w:color w:val="090909"/>
          <w:sz w:val="20"/>
        </w:rPr>
      </w:pPr>
    </w:p>
    <w:p w14:paraId="7542CC53" w14:textId="77777777" w:rsidR="00AD559E" w:rsidRDefault="00783234" w:rsidP="00AD559E">
      <w:pPr>
        <w:ind w:left="145" w:right="144" w:hanging="1"/>
        <w:rPr>
          <w:i/>
          <w:iCs/>
          <w:sz w:val="20"/>
        </w:rPr>
      </w:pPr>
      <w:r w:rsidRPr="00783234">
        <w:rPr>
          <w:b/>
          <w:bCs/>
          <w:color w:val="090909"/>
          <w:sz w:val="20"/>
        </w:rPr>
        <w:t>Recommended Text</w:t>
      </w:r>
      <w:r w:rsidR="00A41736">
        <w:rPr>
          <w:b/>
          <w:bCs/>
          <w:color w:val="090909"/>
          <w:sz w:val="20"/>
        </w:rPr>
        <w:t>s</w:t>
      </w:r>
      <w:r w:rsidRPr="00783234">
        <w:rPr>
          <w:b/>
          <w:bCs/>
          <w:color w:val="090909"/>
          <w:sz w:val="20"/>
        </w:rPr>
        <w:t>:</w:t>
      </w:r>
      <w:r w:rsidR="00A41736">
        <w:rPr>
          <w:b/>
          <w:bCs/>
          <w:color w:val="090909"/>
          <w:sz w:val="20"/>
        </w:rPr>
        <w:t xml:space="preserve">   </w:t>
      </w:r>
      <w:r>
        <w:rPr>
          <w:b/>
          <w:bCs/>
          <w:color w:val="090909"/>
          <w:sz w:val="20"/>
        </w:rPr>
        <w:t xml:space="preserve">                  </w:t>
      </w:r>
      <w:r w:rsidR="00AD559E" w:rsidRPr="00AD559E">
        <w:rPr>
          <w:sz w:val="20"/>
        </w:rPr>
        <w:t>Muse, M., Moore, B.A. (2012). </w:t>
      </w:r>
      <w:r w:rsidR="00AD559E" w:rsidRPr="00AD559E">
        <w:rPr>
          <w:i/>
          <w:iCs/>
          <w:sz w:val="20"/>
        </w:rPr>
        <w:t>Handbook of Clinical Psychopharmacology</w:t>
      </w:r>
      <w:r w:rsidR="00AD559E" w:rsidRPr="00AD559E">
        <w:rPr>
          <w:b/>
          <w:bCs/>
          <w:i/>
          <w:iCs/>
          <w:sz w:val="20"/>
        </w:rPr>
        <w:t> </w:t>
      </w:r>
      <w:r w:rsidR="00AD559E" w:rsidRPr="00AD559E">
        <w:rPr>
          <w:i/>
          <w:iCs/>
          <w:sz w:val="20"/>
        </w:rPr>
        <w:t xml:space="preserve">for </w:t>
      </w:r>
    </w:p>
    <w:p w14:paraId="03C0AFD7" w14:textId="67261A23" w:rsidR="0099080C" w:rsidRDefault="00D358F7" w:rsidP="00AD559E">
      <w:pPr>
        <w:ind w:left="145" w:right="144" w:hanging="1"/>
        <w:jc w:val="center"/>
        <w:rPr>
          <w:sz w:val="20"/>
        </w:rPr>
      </w:pPr>
      <w:r>
        <w:rPr>
          <w:i/>
          <w:iCs/>
          <w:sz w:val="20"/>
        </w:rPr>
        <w:t xml:space="preserve">     </w:t>
      </w:r>
      <w:r>
        <w:rPr>
          <w:i/>
          <w:iCs/>
          <w:sz w:val="20"/>
        </w:rPr>
        <w:tab/>
      </w:r>
      <w:r w:rsidR="00AD559E" w:rsidRPr="00AD559E">
        <w:rPr>
          <w:i/>
          <w:iCs/>
          <w:sz w:val="20"/>
        </w:rPr>
        <w:t>Psychologists </w:t>
      </w:r>
      <w:r w:rsidR="00AD559E" w:rsidRPr="00AD559E">
        <w:rPr>
          <w:sz w:val="20"/>
        </w:rPr>
        <w:t>(1st Ed.). John Wiley &amp; Sons Inc.</w:t>
      </w:r>
    </w:p>
    <w:p w14:paraId="6A4C3301" w14:textId="73FFC5E6" w:rsidR="00D358F7" w:rsidRDefault="00D358F7" w:rsidP="00D358F7">
      <w:pPr>
        <w:ind w:left="145" w:right="144" w:hanging="1"/>
        <w:rPr>
          <w:b/>
          <w:bCs/>
          <w:sz w:val="20"/>
        </w:rPr>
      </w:pPr>
    </w:p>
    <w:p w14:paraId="36580D8E" w14:textId="03734C59" w:rsidR="00D358F7" w:rsidRPr="00D358F7" w:rsidRDefault="00D358F7" w:rsidP="00D358F7">
      <w:pPr>
        <w:ind w:left="2464" w:right="144" w:firstLine="575"/>
        <w:rPr>
          <w:bCs/>
          <w:sz w:val="20"/>
          <w:u w:val="single"/>
        </w:rPr>
      </w:pPr>
      <w:r w:rsidRPr="00D358F7">
        <w:rPr>
          <w:bCs/>
          <w:sz w:val="20"/>
          <w:u w:val="single"/>
        </w:rPr>
        <w:t>Review: Chapter 6, esp. serum monitoring of lithium and valproic acid</w:t>
      </w:r>
    </w:p>
    <w:p w14:paraId="13DCE120" w14:textId="77777777" w:rsidR="00AD559E" w:rsidRDefault="00AD559E" w:rsidP="00AD559E">
      <w:pPr>
        <w:ind w:left="145" w:right="144" w:hanging="1"/>
      </w:pPr>
    </w:p>
    <w:p w14:paraId="3356BBBD" w14:textId="15467B43" w:rsidR="00D358F7" w:rsidRDefault="00AD559E" w:rsidP="00EE4E7D">
      <w:pPr>
        <w:pStyle w:val="BodyText"/>
        <w:ind w:left="3039" w:right="126"/>
      </w:pPr>
      <w:r w:rsidRPr="00AD559E">
        <w:t xml:space="preserve">Procyshyn, R.M., </w:t>
      </w:r>
      <w:proofErr w:type="spellStart"/>
      <w:r w:rsidRPr="00AD559E">
        <w:t>Beschlibnyk</w:t>
      </w:r>
      <w:proofErr w:type="spellEnd"/>
      <w:r w:rsidRPr="00AD559E">
        <w:t xml:space="preserve">-Butler, K., </w:t>
      </w:r>
      <w:proofErr w:type="spellStart"/>
      <w:r w:rsidRPr="00AD559E">
        <w:t>Jeffiries</w:t>
      </w:r>
      <w:proofErr w:type="spellEnd"/>
      <w:r w:rsidRPr="00AD559E">
        <w:t>, J.J. (2019). </w:t>
      </w:r>
      <w:r w:rsidR="00D358F7">
        <w:rPr>
          <w:i/>
          <w:iCs/>
        </w:rPr>
        <w:t>Clinical</w:t>
      </w:r>
      <w:r w:rsidR="00D358F7">
        <w:rPr>
          <w:i/>
          <w:iCs/>
        </w:rPr>
        <w:tab/>
      </w:r>
      <w:r w:rsidRPr="00AD559E">
        <w:rPr>
          <w:i/>
          <w:iCs/>
        </w:rPr>
        <w:t>Handbook of Psychotropic Drugs</w:t>
      </w:r>
      <w:r w:rsidRPr="00AD559E">
        <w:t> (23</w:t>
      </w:r>
      <w:r w:rsidRPr="00AD559E">
        <w:rPr>
          <w:vertAlign w:val="superscript"/>
        </w:rPr>
        <w:t>rd</w:t>
      </w:r>
      <w:r w:rsidRPr="00AD559E">
        <w:t xml:space="preserve"> Ed.). </w:t>
      </w:r>
      <w:proofErr w:type="spellStart"/>
      <w:r w:rsidRPr="00AD559E">
        <w:t>Hogrefe</w:t>
      </w:r>
      <w:proofErr w:type="spellEnd"/>
      <w:r w:rsidRPr="00AD559E">
        <w:t xml:space="preserve"> Publishing.</w:t>
      </w:r>
    </w:p>
    <w:p w14:paraId="15EF1829" w14:textId="77777777" w:rsidR="00D358F7" w:rsidRDefault="00D358F7" w:rsidP="00EE4E7D">
      <w:pPr>
        <w:pStyle w:val="BodyText"/>
        <w:ind w:left="3039" w:right="126"/>
      </w:pPr>
    </w:p>
    <w:p w14:paraId="48D1E732" w14:textId="1A6F9F9F" w:rsidR="00460A57" w:rsidRDefault="00D358F7" w:rsidP="00D358F7">
      <w:pPr>
        <w:pStyle w:val="BodyText"/>
        <w:ind w:left="3039" w:right="126"/>
      </w:pPr>
      <w:r w:rsidRPr="00D358F7">
        <w:rPr>
          <w:u w:val="single"/>
        </w:rPr>
        <w:t xml:space="preserve">Review: Mood stabilizers and </w:t>
      </w:r>
      <w:proofErr w:type="spellStart"/>
      <w:r w:rsidRPr="00D358F7">
        <w:rPr>
          <w:u w:val="single"/>
        </w:rPr>
        <w:t>antimanics</w:t>
      </w:r>
      <w:proofErr w:type="spellEnd"/>
      <w:r w:rsidRPr="00D358F7">
        <w:rPr>
          <w:u w:val="single"/>
        </w:rPr>
        <w:t xml:space="preserve">; antidepressants; Alpha and     </w:t>
      </w:r>
      <w:proofErr w:type="spellStart"/>
      <w:r w:rsidRPr="00D358F7">
        <w:rPr>
          <w:u w:val="single"/>
        </w:rPr>
        <w:t>BetaBlockers</w:t>
      </w:r>
      <w:proofErr w:type="spellEnd"/>
      <w:r w:rsidRPr="00D358F7">
        <w:rPr>
          <w:u w:val="single"/>
        </w:rPr>
        <w:t xml:space="preserve"> will be reviewed online during class – Subscription to the online version recommended for use during the remaining courses</w:t>
      </w:r>
      <w:r w:rsidRPr="00D358F7">
        <w:t>.</w:t>
      </w:r>
    </w:p>
    <w:p w14:paraId="33CC2E6E" w14:textId="77777777" w:rsidR="00AD559E" w:rsidRDefault="00AD559E" w:rsidP="00EE4E7D">
      <w:pPr>
        <w:pStyle w:val="BodyText"/>
        <w:ind w:left="3039" w:right="126"/>
      </w:pPr>
    </w:p>
    <w:p w14:paraId="74834715" w14:textId="0A9CC246" w:rsidR="00352341" w:rsidRDefault="00A61B2C" w:rsidP="00352341">
      <w:pPr>
        <w:pStyle w:val="BodyText"/>
        <w:ind w:left="144" w:right="126"/>
      </w:pPr>
      <w:r>
        <w:rPr>
          <w:b/>
          <w:bCs/>
        </w:rPr>
        <w:t>Required</w:t>
      </w:r>
      <w:r w:rsidR="00A41736">
        <w:rPr>
          <w:b/>
          <w:bCs/>
        </w:rPr>
        <w:t xml:space="preserve"> Articles</w:t>
      </w:r>
      <w:r w:rsidR="00E31E0B">
        <w:rPr>
          <w:b/>
          <w:bCs/>
        </w:rPr>
        <w:t xml:space="preserve">:      </w:t>
      </w:r>
      <w:r w:rsidR="009A2650">
        <w:rPr>
          <w:b/>
          <w:bCs/>
        </w:rPr>
        <w:t xml:space="preserve">          </w:t>
      </w:r>
      <w:r w:rsidR="0086009C">
        <w:rPr>
          <w:b/>
          <w:bCs/>
        </w:rPr>
        <w:tab/>
      </w:r>
      <w:r w:rsidR="00352341">
        <w:rPr>
          <w:b/>
          <w:bCs/>
        </w:rPr>
        <w:t xml:space="preserve">   </w:t>
      </w:r>
      <w:r w:rsidR="00352341" w:rsidRPr="00352341">
        <w:t xml:space="preserve">Bhatt, S., </w:t>
      </w:r>
      <w:proofErr w:type="spellStart"/>
      <w:r w:rsidR="00352341" w:rsidRPr="00352341">
        <w:t>Hillmer</w:t>
      </w:r>
      <w:proofErr w:type="spellEnd"/>
      <w:r w:rsidR="00352341" w:rsidRPr="00352341">
        <w:t xml:space="preserve">, A., </w:t>
      </w:r>
      <w:proofErr w:type="spellStart"/>
      <w:r w:rsidR="00352341" w:rsidRPr="00352341">
        <w:t>Girgenti</w:t>
      </w:r>
      <w:proofErr w:type="spellEnd"/>
      <w:r w:rsidR="00352341" w:rsidRPr="00352341">
        <w:t xml:space="preserve">, M., </w:t>
      </w:r>
      <w:proofErr w:type="spellStart"/>
      <w:r w:rsidR="00352341" w:rsidRPr="00352341">
        <w:t>Rusowicz</w:t>
      </w:r>
      <w:proofErr w:type="spellEnd"/>
      <w:r w:rsidR="00352341" w:rsidRPr="00352341">
        <w:t xml:space="preserve">, A., </w:t>
      </w:r>
      <w:proofErr w:type="spellStart"/>
      <w:r w:rsidR="00352341" w:rsidRPr="00352341">
        <w:t>Kapinos</w:t>
      </w:r>
      <w:proofErr w:type="spellEnd"/>
      <w:r w:rsidR="00352341" w:rsidRPr="00352341">
        <w:t xml:space="preserve">, M., Nabulsi, N., </w:t>
      </w:r>
    </w:p>
    <w:p w14:paraId="5359E704" w14:textId="28A7202A" w:rsidR="003B5432" w:rsidRDefault="00352341" w:rsidP="00D358F7">
      <w:pPr>
        <w:pStyle w:val="BodyText"/>
        <w:ind w:left="3600" w:right="126" w:firstLine="4"/>
      </w:pPr>
      <w:r w:rsidRPr="00352341">
        <w:t xml:space="preserve">Huang, Y., </w:t>
      </w:r>
      <w:proofErr w:type="spellStart"/>
      <w:r w:rsidRPr="00352341">
        <w:t>Matuskey</w:t>
      </w:r>
      <w:proofErr w:type="spellEnd"/>
      <w:r w:rsidRPr="00352341">
        <w:t xml:space="preserve">, D., </w:t>
      </w:r>
      <w:proofErr w:type="spellStart"/>
      <w:r w:rsidRPr="00352341">
        <w:t>Angarit</w:t>
      </w:r>
      <w:r w:rsidR="00D358F7">
        <w:t>a</w:t>
      </w:r>
      <w:proofErr w:type="spellEnd"/>
      <w:r w:rsidR="00D358F7">
        <w:t xml:space="preserve">, G., </w:t>
      </w:r>
      <w:proofErr w:type="spellStart"/>
      <w:r w:rsidR="00D358F7">
        <w:t>Esterlis</w:t>
      </w:r>
      <w:proofErr w:type="spellEnd"/>
      <w:r w:rsidR="00D358F7">
        <w:t xml:space="preserve">, I., Davis, </w:t>
      </w:r>
      <w:proofErr w:type="spellStart"/>
      <w:r w:rsidR="00D358F7">
        <w:t>M.,</w:t>
      </w:r>
      <w:r w:rsidRPr="00352341">
        <w:t>Southwick</w:t>
      </w:r>
      <w:proofErr w:type="spellEnd"/>
      <w:r w:rsidRPr="00352341">
        <w:t xml:space="preserve">, S., </w:t>
      </w:r>
      <w:r>
        <w:t xml:space="preserve"> </w:t>
      </w:r>
      <w:r w:rsidRPr="00352341">
        <w:t xml:space="preserve">Friedman, M., </w:t>
      </w:r>
      <w:proofErr w:type="spellStart"/>
      <w:r w:rsidRPr="00352341">
        <w:t>Duman</w:t>
      </w:r>
      <w:proofErr w:type="spellEnd"/>
      <w:r w:rsidRPr="00352341">
        <w:t>, R., Carson, R., Krystal, J</w:t>
      </w:r>
      <w:r w:rsidR="00D358F7">
        <w:t xml:space="preserve">., </w:t>
      </w:r>
      <w:proofErr w:type="spellStart"/>
      <w:r w:rsidR="00D358F7">
        <w:t>Pietrzak</w:t>
      </w:r>
      <w:proofErr w:type="spellEnd"/>
      <w:r w:rsidR="00D358F7">
        <w:t xml:space="preserve">, R., &amp; Cosgrove. </w:t>
      </w:r>
      <w:r w:rsidRPr="00352341">
        <w:t>(2020). PTSD is associated with neuroimmune suppression: evidence from PET imaging and postmortem transcriptomic studies. </w:t>
      </w:r>
      <w:r w:rsidRPr="00352341">
        <w:rPr>
          <w:i/>
          <w:iCs/>
        </w:rPr>
        <w:t>Nature Communications</w:t>
      </w:r>
      <w:r w:rsidRPr="00352341">
        <w:t>, </w:t>
      </w:r>
      <w:r w:rsidRPr="00352341">
        <w:rPr>
          <w:i/>
          <w:iCs/>
        </w:rPr>
        <w:t>11</w:t>
      </w:r>
      <w:r w:rsidRPr="00352341">
        <w:t xml:space="preserve">(1), 1–11. </w:t>
      </w:r>
      <w:hyperlink r:id="rId8" w:history="1">
        <w:r w:rsidRPr="00B92A68">
          <w:rPr>
            <w:rStyle w:val="Hyperlink"/>
          </w:rPr>
          <w:t>https://doi.org/10.1038/s41467-020-15930-5</w:t>
        </w:r>
      </w:hyperlink>
    </w:p>
    <w:p w14:paraId="5B601157" w14:textId="77777777" w:rsidR="00352341" w:rsidRDefault="00352341" w:rsidP="00352341">
      <w:pPr>
        <w:pStyle w:val="BodyText"/>
        <w:ind w:left="144" w:right="126"/>
      </w:pPr>
    </w:p>
    <w:p w14:paraId="6F72C926" w14:textId="77777777" w:rsidR="00D358F7" w:rsidRDefault="00352341" w:rsidP="00352341">
      <w:pPr>
        <w:pStyle w:val="BodyText"/>
        <w:ind w:left="144" w:right="126"/>
      </w:pPr>
      <w:r>
        <w:lastRenderedPageBreak/>
        <w:t xml:space="preserve">                                                          </w:t>
      </w:r>
    </w:p>
    <w:p w14:paraId="63C4CAEC" w14:textId="0D8982FD" w:rsidR="00352341" w:rsidRDefault="00352341" w:rsidP="00D358F7">
      <w:pPr>
        <w:pStyle w:val="BodyText"/>
        <w:ind w:left="3024" w:right="126"/>
      </w:pPr>
      <w:r w:rsidRPr="00352341">
        <w:t xml:space="preserve">Duffy, A., </w:t>
      </w:r>
      <w:proofErr w:type="spellStart"/>
      <w:r w:rsidRPr="00352341">
        <w:t>Goodday</w:t>
      </w:r>
      <w:proofErr w:type="spellEnd"/>
      <w:r w:rsidRPr="00352341">
        <w:t xml:space="preserve">, S., Keown-Stoneman, C., &amp; </w:t>
      </w:r>
      <w:proofErr w:type="spellStart"/>
      <w:r w:rsidRPr="00352341">
        <w:t>Grof</w:t>
      </w:r>
      <w:proofErr w:type="spellEnd"/>
      <w:r w:rsidRPr="00352341">
        <w:t xml:space="preserve">, P. (2019). The Emergent </w:t>
      </w:r>
      <w:r>
        <w:t xml:space="preserve"> </w:t>
      </w:r>
    </w:p>
    <w:p w14:paraId="0FA9A7AA" w14:textId="099FE830" w:rsidR="00352341" w:rsidRDefault="00352341" w:rsidP="00352341">
      <w:pPr>
        <w:pStyle w:val="BodyText"/>
        <w:ind w:left="144" w:right="126"/>
      </w:pPr>
      <w:r>
        <w:t xml:space="preserve">                          </w:t>
      </w:r>
      <w:r w:rsidR="00D358F7">
        <w:t xml:space="preserve">                               </w:t>
      </w:r>
      <w:r w:rsidR="00D358F7">
        <w:tab/>
      </w:r>
      <w:r w:rsidRPr="00352341">
        <w:t>Course of Bipolar Disorder: Observations Over Two Decades From the</w:t>
      </w:r>
      <w:r>
        <w:t xml:space="preserve"> </w:t>
      </w:r>
    </w:p>
    <w:p w14:paraId="47C26BBC" w14:textId="3AD41CC0" w:rsidR="00352341" w:rsidRDefault="00D358F7" w:rsidP="00D358F7">
      <w:pPr>
        <w:pStyle w:val="BodyText"/>
        <w:ind w:left="2880" w:right="126"/>
      </w:pPr>
      <w:r>
        <w:t xml:space="preserve">               </w:t>
      </w:r>
      <w:r w:rsidR="00352341" w:rsidRPr="00352341">
        <w:t>Canadian High-Risk Offspring Cohort. </w:t>
      </w:r>
      <w:r w:rsidR="00352341" w:rsidRPr="00352341">
        <w:rPr>
          <w:i/>
          <w:iCs/>
        </w:rPr>
        <w:t xml:space="preserve">American </w:t>
      </w:r>
      <w:r>
        <w:rPr>
          <w:i/>
          <w:iCs/>
        </w:rPr>
        <w:t>Journal of</w:t>
      </w:r>
      <w:r>
        <w:rPr>
          <w:i/>
          <w:iCs/>
        </w:rPr>
        <w:tab/>
      </w:r>
      <w:r w:rsidR="00352341" w:rsidRPr="00352341">
        <w:rPr>
          <w:i/>
          <w:iCs/>
        </w:rPr>
        <w:t>Psychiatry</w:t>
      </w:r>
      <w:r w:rsidR="00352341" w:rsidRPr="00352341">
        <w:t>, </w:t>
      </w:r>
      <w:r w:rsidR="00352341" w:rsidRPr="00352341">
        <w:rPr>
          <w:i/>
          <w:iCs/>
        </w:rPr>
        <w:t>176</w:t>
      </w:r>
      <w:r>
        <w:t>(9), 720–729.</w:t>
      </w:r>
      <w:r>
        <w:tab/>
      </w:r>
      <w:hyperlink r:id="rId9" w:history="1">
        <w:r w:rsidR="00352341" w:rsidRPr="00B92A68">
          <w:rPr>
            <w:rStyle w:val="Hyperlink"/>
          </w:rPr>
          <w:t>https://doi.org/10.1176/appi.ajp.2018.18040461</w:t>
        </w:r>
      </w:hyperlink>
    </w:p>
    <w:p w14:paraId="08ABF9AC" w14:textId="77777777" w:rsidR="00352341" w:rsidRDefault="00352341" w:rsidP="00352341">
      <w:pPr>
        <w:pStyle w:val="BodyText"/>
        <w:ind w:left="144" w:right="126"/>
      </w:pPr>
    </w:p>
    <w:p w14:paraId="61465F59" w14:textId="2666DA98" w:rsidR="00352341" w:rsidRDefault="00352341" w:rsidP="00D358F7">
      <w:pPr>
        <w:pStyle w:val="BodyText"/>
        <w:ind w:left="3024" w:right="126"/>
      </w:pPr>
      <w:proofErr w:type="spellStart"/>
      <w:r w:rsidRPr="00352341">
        <w:t>Merikangas</w:t>
      </w:r>
      <w:proofErr w:type="spellEnd"/>
      <w:r w:rsidRPr="00352341">
        <w:t xml:space="preserve">, K., </w:t>
      </w:r>
      <w:proofErr w:type="spellStart"/>
      <w:r w:rsidRPr="00352341">
        <w:t>Swendsen</w:t>
      </w:r>
      <w:proofErr w:type="spellEnd"/>
      <w:r w:rsidRPr="00352341">
        <w:t xml:space="preserve">, J., </w:t>
      </w:r>
      <w:proofErr w:type="spellStart"/>
      <w:r w:rsidRPr="00352341">
        <w:t>Hickie</w:t>
      </w:r>
      <w:proofErr w:type="spellEnd"/>
      <w:r w:rsidRPr="00352341">
        <w:t>, I., Cui</w:t>
      </w:r>
      <w:r w:rsidR="00D358F7">
        <w:t xml:space="preserve">, L., Shou, H., </w:t>
      </w:r>
      <w:proofErr w:type="spellStart"/>
      <w:r w:rsidR="00D358F7">
        <w:t>Merikangas</w:t>
      </w:r>
      <w:proofErr w:type="spellEnd"/>
      <w:r w:rsidR="00D358F7">
        <w:t>, A.</w:t>
      </w:r>
      <w:r w:rsidR="00D358F7">
        <w:tab/>
      </w:r>
      <w:r w:rsidRPr="00352341">
        <w:t xml:space="preserve">Zhang, J., </w:t>
      </w:r>
      <w:proofErr w:type="spellStart"/>
      <w:r w:rsidRPr="00352341">
        <w:t>Lamers</w:t>
      </w:r>
      <w:proofErr w:type="spellEnd"/>
      <w:r w:rsidRPr="00352341">
        <w:t xml:space="preserve">, F., </w:t>
      </w:r>
      <w:proofErr w:type="spellStart"/>
      <w:r w:rsidRPr="00352341">
        <w:t>Crainiceanu</w:t>
      </w:r>
      <w:proofErr w:type="spellEnd"/>
      <w:r w:rsidRPr="00352341">
        <w:t>, C</w:t>
      </w:r>
      <w:r w:rsidR="00D358F7">
        <w:t xml:space="preserve">., Volkow, N., &amp; </w:t>
      </w:r>
      <w:proofErr w:type="spellStart"/>
      <w:r w:rsidR="00D358F7">
        <w:t>Zipunnikov</w:t>
      </w:r>
      <w:proofErr w:type="spellEnd"/>
      <w:r w:rsidR="00D358F7">
        <w:t>, V.</w:t>
      </w:r>
      <w:r w:rsidR="00D358F7">
        <w:tab/>
      </w:r>
      <w:r w:rsidRPr="00352341">
        <w:t>(2019). </w:t>
      </w:r>
      <w:r w:rsidRPr="00A91B25">
        <w:t>Real-time mobile monitoring of</w:t>
      </w:r>
      <w:r w:rsidR="00D358F7">
        <w:t xml:space="preserve"> the dynamic associations among</w:t>
      </w:r>
      <w:r w:rsidR="00D358F7">
        <w:tab/>
      </w:r>
      <w:r w:rsidRPr="00A91B25">
        <w:t>motor activity, energy, mood, and sleep in adults with Bipolar Disorder</w:t>
      </w:r>
      <w:r w:rsidR="00A91B25">
        <w:t>.</w:t>
      </w:r>
      <w:r w:rsidR="00D358F7">
        <w:tab/>
      </w:r>
      <w:r w:rsidR="00A91B25">
        <w:rPr>
          <w:i/>
          <w:iCs/>
        </w:rPr>
        <w:t xml:space="preserve">JAMA Psychiatry, </w:t>
      </w:r>
      <w:r w:rsidRPr="00352341">
        <w:rPr>
          <w:i/>
          <w:iCs/>
        </w:rPr>
        <w:t>76</w:t>
      </w:r>
      <w:r>
        <w:t>(2), 190-198</w:t>
      </w:r>
      <w:r w:rsidR="00A91B25">
        <w:t>.</w:t>
      </w:r>
      <w:r w:rsidR="00D358F7">
        <w:tab/>
      </w:r>
      <w:hyperlink r:id="rId10" w:history="1">
        <w:r w:rsidR="00A91B25" w:rsidRPr="00B92A68">
          <w:rPr>
            <w:rStyle w:val="Hyperlink"/>
          </w:rPr>
          <w:t>https://doi.org/10.1001/jamapsychiatry.2018.3546</w:t>
        </w:r>
      </w:hyperlink>
      <w:r w:rsidR="00A91B25">
        <w:t xml:space="preserve"> </w:t>
      </w:r>
    </w:p>
    <w:p w14:paraId="400760BE" w14:textId="77777777" w:rsidR="00352341" w:rsidRDefault="00352341" w:rsidP="009A2650">
      <w:pPr>
        <w:pStyle w:val="BodyText"/>
        <w:ind w:left="3024" w:right="126"/>
      </w:pPr>
    </w:p>
    <w:p w14:paraId="1AD1B687" w14:textId="2EB9D341" w:rsidR="003B5432" w:rsidRPr="00D358F7" w:rsidRDefault="000D2A18" w:rsidP="00D358F7">
      <w:pPr>
        <w:pStyle w:val="BodyText"/>
        <w:ind w:left="2880" w:right="126" w:firstLine="144"/>
        <w:rPr>
          <w:i/>
          <w:iCs/>
        </w:rPr>
      </w:pPr>
      <w:r>
        <w:t>Webster, K.</w:t>
      </w:r>
      <w:r w:rsidR="00A91B25">
        <w:t xml:space="preserve"> D.</w:t>
      </w:r>
      <w:r>
        <w:t xml:space="preserve"> &amp; Michalowski, S. </w:t>
      </w:r>
      <w:r w:rsidR="00410438">
        <w:t xml:space="preserve">(2020) </w:t>
      </w:r>
      <w:r w:rsidRPr="00410438">
        <w:t>Man</w:t>
      </w:r>
      <w:r w:rsidR="00D358F7">
        <w:t>agement of Bipolar Disorder and</w:t>
      </w:r>
      <w:r w:rsidR="00D358F7">
        <w:tab/>
      </w:r>
      <w:r w:rsidRPr="00410438">
        <w:t>Post-Traumatic Stress in a Patien</w:t>
      </w:r>
      <w:r w:rsidR="00D358F7">
        <w:t>t During and Post Breast Cancer</w:t>
      </w:r>
      <w:r w:rsidR="00D358F7">
        <w:tab/>
      </w:r>
      <w:r w:rsidRPr="00410438">
        <w:t>Treatment</w:t>
      </w:r>
      <w:r w:rsidRPr="00410438">
        <w:rPr>
          <w:i/>
          <w:iCs/>
        </w:rPr>
        <w:t>.</w:t>
      </w:r>
      <w:r w:rsidR="00D358F7">
        <w:rPr>
          <w:i/>
          <w:iCs/>
        </w:rPr>
        <w:t xml:space="preserve"> </w:t>
      </w:r>
      <w:r w:rsidRPr="00410438">
        <w:rPr>
          <w:i/>
          <w:iCs/>
        </w:rPr>
        <w:t>J</w:t>
      </w:r>
      <w:r w:rsidR="00A91B25">
        <w:rPr>
          <w:i/>
          <w:iCs/>
        </w:rPr>
        <w:t>ournal of</w:t>
      </w:r>
      <w:r w:rsidRPr="00410438">
        <w:rPr>
          <w:i/>
          <w:iCs/>
        </w:rPr>
        <w:t xml:space="preserve"> Women’s Health </w:t>
      </w:r>
      <w:r w:rsidRPr="00A91B25">
        <w:rPr>
          <w:i/>
          <w:iCs/>
        </w:rPr>
        <w:t>&amp; Dev</w:t>
      </w:r>
      <w:r w:rsidR="00A91B25" w:rsidRPr="00A91B25">
        <w:rPr>
          <w:i/>
          <w:iCs/>
        </w:rPr>
        <w:t>elopment</w:t>
      </w:r>
      <w:r w:rsidRPr="00A91B25">
        <w:rPr>
          <w:i/>
          <w:iCs/>
        </w:rPr>
        <w:t>, 3</w:t>
      </w:r>
      <w:r>
        <w:t>(2)</w:t>
      </w:r>
      <w:r w:rsidR="00A91B25">
        <w:t>,</w:t>
      </w:r>
      <w:r>
        <w:t xml:space="preserve"> 125-13</w:t>
      </w:r>
      <w:r w:rsidR="00410438">
        <w:t>0.</w:t>
      </w:r>
    </w:p>
    <w:p w14:paraId="66DC0DF1" w14:textId="414FF487" w:rsidR="0099080C" w:rsidRDefault="0058692F">
      <w:pPr>
        <w:pStyle w:val="BodyText"/>
        <w:spacing w:before="159"/>
        <w:ind w:left="160" w:right="116"/>
        <w:jc w:val="both"/>
      </w:pPr>
      <w:r>
        <w:rPr>
          <w:b/>
        </w:rPr>
        <w:t>Course</w:t>
      </w:r>
      <w:r>
        <w:rPr>
          <w:b/>
          <w:spacing w:val="-13"/>
        </w:rPr>
        <w:t xml:space="preserve"> </w:t>
      </w:r>
      <w:r>
        <w:rPr>
          <w:b/>
        </w:rPr>
        <w:t>Description:</w:t>
      </w:r>
      <w:r>
        <w:rPr>
          <w:b/>
          <w:spacing w:val="-11"/>
        </w:rPr>
        <w:t xml:space="preserve"> </w:t>
      </w:r>
      <w:r>
        <w:t>In</w:t>
      </w:r>
      <w:r>
        <w:rPr>
          <w:spacing w:val="-10"/>
        </w:rPr>
        <w:t xml:space="preserve"> </w:t>
      </w:r>
      <w:r>
        <w:t>this</w:t>
      </w:r>
      <w:r>
        <w:rPr>
          <w:spacing w:val="-11"/>
        </w:rPr>
        <w:t xml:space="preserve"> </w:t>
      </w:r>
      <w:r>
        <w:t>RXPP</w:t>
      </w:r>
      <w:r>
        <w:rPr>
          <w:spacing w:val="-12"/>
        </w:rPr>
        <w:t xml:space="preserve"> </w:t>
      </w:r>
      <w:r>
        <w:t>604</w:t>
      </w:r>
      <w:r>
        <w:rPr>
          <w:spacing w:val="-10"/>
        </w:rPr>
        <w:t xml:space="preserve"> </w:t>
      </w:r>
      <w:r>
        <w:t>class</w:t>
      </w:r>
      <w:r>
        <w:rPr>
          <w:spacing w:val="-13"/>
        </w:rPr>
        <w:t xml:space="preserve"> </w:t>
      </w:r>
      <w:r>
        <w:t>we</w:t>
      </w:r>
      <w:r>
        <w:rPr>
          <w:spacing w:val="-12"/>
        </w:rPr>
        <w:t xml:space="preserve"> </w:t>
      </w:r>
      <w:r w:rsidR="00D358F7">
        <w:t>begin</w:t>
      </w:r>
      <w:r>
        <w:rPr>
          <w:spacing w:val="-13"/>
        </w:rPr>
        <w:t xml:space="preserve"> </w:t>
      </w:r>
      <w:r>
        <w:t>our</w:t>
      </w:r>
      <w:r>
        <w:rPr>
          <w:spacing w:val="-10"/>
        </w:rPr>
        <w:t xml:space="preserve"> </w:t>
      </w:r>
      <w:r>
        <w:t>study</w:t>
      </w:r>
      <w:r>
        <w:rPr>
          <w:spacing w:val="-12"/>
        </w:rPr>
        <w:t xml:space="preserve"> </w:t>
      </w:r>
      <w:r>
        <w:t>of</w:t>
      </w:r>
      <w:r>
        <w:rPr>
          <w:spacing w:val="-11"/>
        </w:rPr>
        <w:t xml:space="preserve"> </w:t>
      </w:r>
      <w:r>
        <w:t>clinical</w:t>
      </w:r>
      <w:r>
        <w:rPr>
          <w:spacing w:val="-11"/>
        </w:rPr>
        <w:t xml:space="preserve"> </w:t>
      </w:r>
      <w:r>
        <w:t>psychopharmacology</w:t>
      </w:r>
      <w:r>
        <w:rPr>
          <w:spacing w:val="-11"/>
        </w:rPr>
        <w:t xml:space="preserve"> </w:t>
      </w:r>
      <w:r>
        <w:t>through</w:t>
      </w:r>
      <w:r>
        <w:rPr>
          <w:spacing w:val="-12"/>
        </w:rPr>
        <w:t xml:space="preserve"> </w:t>
      </w:r>
      <w:r>
        <w:t>the</w:t>
      </w:r>
      <w:r>
        <w:rPr>
          <w:spacing w:val="-12"/>
        </w:rPr>
        <w:t xml:space="preserve"> </w:t>
      </w:r>
      <w:r>
        <w:t>study of the treatment of bipolar disorder</w:t>
      </w:r>
      <w:r w:rsidR="00783234">
        <w:t xml:space="preserve"> (Day 1) and Post-Traumatic Stress Disorder (Day 2)</w:t>
      </w:r>
      <w:r>
        <w:t>. Objectives of this course are to understand the biochemical mechanism(s) underlying</w:t>
      </w:r>
      <w:r>
        <w:rPr>
          <w:spacing w:val="-15"/>
        </w:rPr>
        <w:t xml:space="preserve"> </w:t>
      </w:r>
      <w:r>
        <w:t>the</w:t>
      </w:r>
      <w:r>
        <w:rPr>
          <w:spacing w:val="-16"/>
        </w:rPr>
        <w:t xml:space="preserve"> </w:t>
      </w:r>
      <w:r>
        <w:t>pharmacological</w:t>
      </w:r>
      <w:r>
        <w:rPr>
          <w:spacing w:val="-14"/>
        </w:rPr>
        <w:t xml:space="preserve"> </w:t>
      </w:r>
      <w:r>
        <w:t>efficacy</w:t>
      </w:r>
      <w:r>
        <w:rPr>
          <w:spacing w:val="-15"/>
        </w:rPr>
        <w:t xml:space="preserve"> </w:t>
      </w:r>
      <w:r>
        <w:t>of</w:t>
      </w:r>
      <w:r>
        <w:rPr>
          <w:spacing w:val="-13"/>
        </w:rPr>
        <w:t xml:space="preserve"> </w:t>
      </w:r>
      <w:r>
        <w:t>antimanic</w:t>
      </w:r>
      <w:r>
        <w:rPr>
          <w:spacing w:val="-14"/>
        </w:rPr>
        <w:t xml:space="preserve"> </w:t>
      </w:r>
      <w:r w:rsidR="00783234">
        <w:rPr>
          <w:spacing w:val="-14"/>
        </w:rPr>
        <w:t xml:space="preserve">and PTSD </w:t>
      </w:r>
      <w:r>
        <w:t>treatments;</w:t>
      </w:r>
      <w:r>
        <w:rPr>
          <w:spacing w:val="-14"/>
        </w:rPr>
        <w:t xml:space="preserve"> </w:t>
      </w:r>
      <w:r>
        <w:t>the</w:t>
      </w:r>
      <w:r>
        <w:rPr>
          <w:spacing w:val="-16"/>
        </w:rPr>
        <w:t xml:space="preserve"> </w:t>
      </w:r>
      <w:r>
        <w:t>biochemical,</w:t>
      </w:r>
      <w:r>
        <w:rPr>
          <w:spacing w:val="-13"/>
        </w:rPr>
        <w:t xml:space="preserve"> </w:t>
      </w:r>
      <w:r>
        <w:t>physiological</w:t>
      </w:r>
      <w:r>
        <w:rPr>
          <w:spacing w:val="-14"/>
        </w:rPr>
        <w:t xml:space="preserve"> </w:t>
      </w:r>
      <w:r>
        <w:t>and</w:t>
      </w:r>
      <w:r>
        <w:rPr>
          <w:spacing w:val="-14"/>
        </w:rPr>
        <w:t xml:space="preserve"> </w:t>
      </w:r>
      <w:r>
        <w:t>anatomical</w:t>
      </w:r>
      <w:r>
        <w:rPr>
          <w:spacing w:val="-14"/>
        </w:rPr>
        <w:t xml:space="preserve"> </w:t>
      </w:r>
      <w:r>
        <w:t xml:space="preserve">bases of adverse effects associated with antimanic </w:t>
      </w:r>
      <w:r w:rsidR="00783234">
        <w:t xml:space="preserve">and PTSD </w:t>
      </w:r>
      <w:r>
        <w:t>treatments; different classes of antimanic drugs and treatments</w:t>
      </w:r>
      <w:r w:rsidR="00783234">
        <w:t xml:space="preserve"> and drugs used to aid in the treatment of PTSD</w:t>
      </w:r>
      <w:r>
        <w:t>; typical antipsychotic medications, atypical antipsychotics, electroconvulsive therapy (ECT), lithium (Li+), anticonvulsants, and other treatments for bipolar disorder</w:t>
      </w:r>
      <w:r w:rsidR="00783234">
        <w:t>; symptom modifying medications and treatments for PTSD;</w:t>
      </w:r>
      <w:r>
        <w:t xml:space="preserve"> and to be able to effectively prescribe these medications and manage the medical issues that arise from their use. </w:t>
      </w:r>
    </w:p>
    <w:p w14:paraId="230FBDBB" w14:textId="77777777" w:rsidR="0099080C" w:rsidRDefault="0099080C">
      <w:pPr>
        <w:pStyle w:val="BodyText"/>
        <w:spacing w:before="4"/>
      </w:pPr>
    </w:p>
    <w:p w14:paraId="2DEE66FB" w14:textId="77777777" w:rsidR="0099080C" w:rsidRDefault="0058692F">
      <w:pPr>
        <w:ind w:left="160" w:right="391"/>
        <w:rPr>
          <w:rFonts w:ascii="Book Antiqua"/>
          <w:sz w:val="20"/>
        </w:rPr>
      </w:pPr>
      <w:r>
        <w:rPr>
          <w:rFonts w:ascii="Book Antiqua"/>
          <w:b/>
          <w:i/>
          <w:color w:val="303030"/>
          <w:sz w:val="20"/>
        </w:rPr>
        <w:t>This course is congruent with the College of Education's Conceptual Framework in that it provides a general knowledge background, addresses assessment competencies, and integrates content knowledge and professional</w:t>
      </w:r>
      <w:r>
        <w:rPr>
          <w:rFonts w:ascii="Book Antiqua"/>
          <w:b/>
          <w:i/>
          <w:color w:val="303030"/>
          <w:spacing w:val="-3"/>
          <w:sz w:val="20"/>
        </w:rPr>
        <w:t xml:space="preserve"> </w:t>
      </w:r>
      <w:r>
        <w:rPr>
          <w:rFonts w:ascii="Book Antiqua"/>
          <w:b/>
          <w:i/>
          <w:color w:val="303030"/>
          <w:sz w:val="20"/>
        </w:rPr>
        <w:t>knowledge</w:t>
      </w:r>
      <w:r>
        <w:rPr>
          <w:rFonts w:ascii="Book Antiqua"/>
          <w:sz w:val="20"/>
        </w:rPr>
        <w:t>.</w:t>
      </w:r>
    </w:p>
    <w:p w14:paraId="0DE0B2F9" w14:textId="77777777" w:rsidR="00D358F7" w:rsidRDefault="00D358F7" w:rsidP="00D358F7">
      <w:pPr>
        <w:spacing w:before="158"/>
        <w:ind w:left="160"/>
        <w:jc w:val="both"/>
        <w:rPr>
          <w:sz w:val="20"/>
        </w:rPr>
      </w:pPr>
      <w:r>
        <w:rPr>
          <w:b/>
          <w:sz w:val="20"/>
        </w:rPr>
        <w:t xml:space="preserve">Day Objectives:  </w:t>
      </w:r>
      <w:r>
        <w:rPr>
          <w:sz w:val="20"/>
        </w:rPr>
        <w:t>Students</w:t>
      </w:r>
      <w:r>
        <w:rPr>
          <w:spacing w:val="-13"/>
          <w:sz w:val="20"/>
        </w:rPr>
        <w:t xml:space="preserve"> </w:t>
      </w:r>
      <w:r>
        <w:rPr>
          <w:sz w:val="20"/>
        </w:rPr>
        <w:t>will be able to:</w:t>
      </w:r>
    </w:p>
    <w:p w14:paraId="003EA95E" w14:textId="77777777" w:rsidR="00D358F7" w:rsidRDefault="00D358F7" w:rsidP="00D358F7">
      <w:pPr>
        <w:pStyle w:val="ListParagraph"/>
        <w:numPr>
          <w:ilvl w:val="0"/>
          <w:numId w:val="2"/>
        </w:numPr>
        <w:tabs>
          <w:tab w:val="left" w:pos="879"/>
          <w:tab w:val="left" w:pos="881"/>
        </w:tabs>
        <w:ind w:right="270"/>
        <w:rPr>
          <w:sz w:val="20"/>
        </w:rPr>
      </w:pPr>
      <w:r w:rsidRPr="002547BD">
        <w:rPr>
          <w:sz w:val="20"/>
        </w:rPr>
        <w:t xml:space="preserve">Describe the mechanism of action </w:t>
      </w:r>
      <w:r w:rsidRPr="003632B3">
        <w:rPr>
          <w:sz w:val="20"/>
        </w:rPr>
        <w:t>of five psychotropic medications</w:t>
      </w:r>
      <w:r>
        <w:rPr>
          <w:sz w:val="20"/>
        </w:rPr>
        <w:t xml:space="preserve"> (e.g. </w:t>
      </w:r>
      <w:r w:rsidRPr="002547BD">
        <w:rPr>
          <w:sz w:val="20"/>
        </w:rPr>
        <w:t xml:space="preserve">Lithium, Valproate, </w:t>
      </w:r>
      <w:r>
        <w:rPr>
          <w:sz w:val="20"/>
        </w:rPr>
        <w:t xml:space="preserve">Lamotrigine, </w:t>
      </w:r>
      <w:r w:rsidRPr="002547BD">
        <w:rPr>
          <w:sz w:val="20"/>
        </w:rPr>
        <w:t>Second Generation Antipsychotics and Benzodiazepines</w:t>
      </w:r>
      <w:r>
        <w:rPr>
          <w:sz w:val="20"/>
        </w:rPr>
        <w:t>)</w:t>
      </w:r>
      <w:r w:rsidRPr="002547BD">
        <w:rPr>
          <w:sz w:val="20"/>
        </w:rPr>
        <w:t xml:space="preserve"> in treating bipolar</w:t>
      </w:r>
      <w:r w:rsidRPr="002547BD">
        <w:rPr>
          <w:spacing w:val="-2"/>
          <w:sz w:val="20"/>
        </w:rPr>
        <w:t xml:space="preserve"> </w:t>
      </w:r>
      <w:r w:rsidRPr="002547BD">
        <w:rPr>
          <w:sz w:val="20"/>
        </w:rPr>
        <w:t>disorder</w:t>
      </w:r>
      <w:r>
        <w:rPr>
          <w:sz w:val="20"/>
        </w:rPr>
        <w:t>.</w:t>
      </w:r>
    </w:p>
    <w:p w14:paraId="7EF42362" w14:textId="77777777" w:rsidR="00D358F7" w:rsidRPr="002547BD" w:rsidRDefault="00D358F7" w:rsidP="00D358F7">
      <w:pPr>
        <w:pStyle w:val="ListParagraph"/>
        <w:numPr>
          <w:ilvl w:val="0"/>
          <w:numId w:val="2"/>
        </w:numPr>
        <w:tabs>
          <w:tab w:val="left" w:pos="879"/>
          <w:tab w:val="left" w:pos="881"/>
        </w:tabs>
        <w:ind w:right="270"/>
        <w:rPr>
          <w:sz w:val="20"/>
        </w:rPr>
      </w:pPr>
      <w:r w:rsidRPr="002547BD">
        <w:rPr>
          <w:sz w:val="20"/>
        </w:rPr>
        <w:t xml:space="preserve">Describe the mechanism of action </w:t>
      </w:r>
      <w:r w:rsidRPr="003632B3">
        <w:rPr>
          <w:sz w:val="20"/>
        </w:rPr>
        <w:t>of the two adjunctive</w:t>
      </w:r>
      <w:r w:rsidRPr="002547BD">
        <w:rPr>
          <w:sz w:val="20"/>
        </w:rPr>
        <w:t xml:space="preserve"> mood stabilizer</w:t>
      </w:r>
      <w:r>
        <w:rPr>
          <w:sz w:val="20"/>
        </w:rPr>
        <w:t xml:space="preserve">s </w:t>
      </w:r>
      <w:r w:rsidRPr="002547BD">
        <w:rPr>
          <w:sz w:val="20"/>
        </w:rPr>
        <w:t>Gabapentin</w:t>
      </w:r>
      <w:r>
        <w:rPr>
          <w:sz w:val="20"/>
        </w:rPr>
        <w:t xml:space="preserve"> and Oxcarbazepine</w:t>
      </w:r>
      <w:r w:rsidRPr="002547BD">
        <w:rPr>
          <w:sz w:val="20"/>
        </w:rPr>
        <w:t>.</w:t>
      </w:r>
    </w:p>
    <w:p w14:paraId="76FE5532" w14:textId="77777777" w:rsidR="00D358F7" w:rsidRDefault="00D358F7" w:rsidP="00D358F7">
      <w:pPr>
        <w:pStyle w:val="ListParagraph"/>
        <w:numPr>
          <w:ilvl w:val="0"/>
          <w:numId w:val="2"/>
        </w:numPr>
        <w:tabs>
          <w:tab w:val="left" w:pos="879"/>
          <w:tab w:val="left" w:pos="881"/>
        </w:tabs>
        <w:ind w:right="270"/>
        <w:rPr>
          <w:sz w:val="20"/>
        </w:rPr>
      </w:pPr>
      <w:r>
        <w:rPr>
          <w:sz w:val="20"/>
        </w:rPr>
        <w:t xml:space="preserve">Explain </w:t>
      </w:r>
      <w:r w:rsidRPr="0015443F">
        <w:rPr>
          <w:sz w:val="20"/>
          <w:u w:val="single"/>
        </w:rPr>
        <w:t>at least two</w:t>
      </w:r>
      <w:r>
        <w:rPr>
          <w:sz w:val="20"/>
        </w:rPr>
        <w:t xml:space="preserve"> genetic predisposing factors for the development of bipolar disorder.</w:t>
      </w:r>
    </w:p>
    <w:p w14:paraId="16174B4A" w14:textId="77777777" w:rsidR="00D358F7" w:rsidRDefault="00D358F7" w:rsidP="00D358F7">
      <w:pPr>
        <w:pStyle w:val="ListParagraph"/>
        <w:numPr>
          <w:ilvl w:val="0"/>
          <w:numId w:val="2"/>
        </w:numPr>
        <w:tabs>
          <w:tab w:val="left" w:pos="880"/>
          <w:tab w:val="left" w:pos="881"/>
        </w:tabs>
        <w:ind w:right="333"/>
        <w:rPr>
          <w:sz w:val="20"/>
        </w:rPr>
      </w:pPr>
      <w:r>
        <w:rPr>
          <w:sz w:val="20"/>
        </w:rPr>
        <w:t>Select the most appropriate psychotropic medications for bipolar disorders considering the effect and the side effect profile of each</w:t>
      </w:r>
      <w:r>
        <w:rPr>
          <w:spacing w:val="-8"/>
          <w:sz w:val="20"/>
        </w:rPr>
        <w:t xml:space="preserve"> </w:t>
      </w:r>
      <w:r>
        <w:rPr>
          <w:sz w:val="20"/>
        </w:rPr>
        <w:t>drug for two patients whose cases will be presented.</w:t>
      </w:r>
    </w:p>
    <w:p w14:paraId="16B00D8F" w14:textId="77777777" w:rsidR="00D358F7" w:rsidRDefault="00D358F7" w:rsidP="00D358F7">
      <w:pPr>
        <w:pStyle w:val="ListParagraph"/>
        <w:numPr>
          <w:ilvl w:val="0"/>
          <w:numId w:val="2"/>
        </w:numPr>
        <w:tabs>
          <w:tab w:val="left" w:pos="880"/>
          <w:tab w:val="left" w:pos="881"/>
        </w:tabs>
        <w:ind w:right="377"/>
        <w:rPr>
          <w:sz w:val="20"/>
        </w:rPr>
      </w:pPr>
      <w:r>
        <w:rPr>
          <w:sz w:val="20"/>
        </w:rPr>
        <w:t xml:space="preserve">Accurately </w:t>
      </w:r>
      <w:r w:rsidRPr="003632B3">
        <w:rPr>
          <w:sz w:val="20"/>
        </w:rPr>
        <w:t>evaluate one serum</w:t>
      </w:r>
      <w:r>
        <w:rPr>
          <w:sz w:val="20"/>
        </w:rPr>
        <w:t xml:space="preserve"> level each for Lithium, Carbamazepine and Depakote to determine the safety of patient’s current regimen of medication.</w:t>
      </w:r>
    </w:p>
    <w:p w14:paraId="7B04D8D9" w14:textId="77777777" w:rsidR="00D358F7" w:rsidRDefault="00D358F7" w:rsidP="00D358F7">
      <w:pPr>
        <w:pStyle w:val="ListParagraph"/>
        <w:numPr>
          <w:ilvl w:val="0"/>
          <w:numId w:val="2"/>
        </w:numPr>
        <w:tabs>
          <w:tab w:val="left" w:pos="880"/>
          <w:tab w:val="left" w:pos="881"/>
        </w:tabs>
        <w:ind w:right="258"/>
        <w:rPr>
          <w:sz w:val="20"/>
        </w:rPr>
      </w:pPr>
      <w:r>
        <w:rPr>
          <w:sz w:val="20"/>
        </w:rPr>
        <w:t>List four factors which contribute to poor response to mood stabilizers in the treatment of bipolar</w:t>
      </w:r>
      <w:r>
        <w:rPr>
          <w:spacing w:val="-4"/>
          <w:sz w:val="20"/>
        </w:rPr>
        <w:t xml:space="preserve"> </w:t>
      </w:r>
      <w:r>
        <w:rPr>
          <w:sz w:val="20"/>
        </w:rPr>
        <w:t>disorder.</w:t>
      </w:r>
    </w:p>
    <w:p w14:paraId="03FFFBFD" w14:textId="77777777" w:rsidR="00D358F7" w:rsidRDefault="00D358F7" w:rsidP="00D358F7">
      <w:pPr>
        <w:pStyle w:val="ListParagraph"/>
        <w:numPr>
          <w:ilvl w:val="0"/>
          <w:numId w:val="2"/>
        </w:numPr>
        <w:tabs>
          <w:tab w:val="left" w:pos="880"/>
          <w:tab w:val="left" w:pos="881"/>
        </w:tabs>
        <w:ind w:right="258"/>
        <w:rPr>
          <w:sz w:val="20"/>
        </w:rPr>
      </w:pPr>
      <w:r>
        <w:rPr>
          <w:sz w:val="20"/>
        </w:rPr>
        <w:t>List three pathological syndromes commonly mistaken for bipolar disorder.</w:t>
      </w:r>
    </w:p>
    <w:p w14:paraId="0E72D5D5" w14:textId="77777777" w:rsidR="00D358F7" w:rsidRDefault="00D358F7" w:rsidP="00D358F7">
      <w:pPr>
        <w:pStyle w:val="ListParagraph"/>
        <w:numPr>
          <w:ilvl w:val="0"/>
          <w:numId w:val="2"/>
        </w:numPr>
        <w:tabs>
          <w:tab w:val="left" w:pos="880"/>
          <w:tab w:val="left" w:pos="881"/>
        </w:tabs>
        <w:ind w:right="206"/>
        <w:rPr>
          <w:sz w:val="20"/>
        </w:rPr>
      </w:pPr>
      <w:r>
        <w:rPr>
          <w:sz w:val="20"/>
        </w:rPr>
        <w:t>Explain the three most important psychotherapeutic goals in assisting patients in managing their bipolar disorder.</w:t>
      </w:r>
    </w:p>
    <w:p w14:paraId="6681F357" w14:textId="77777777" w:rsidR="00D358F7" w:rsidRDefault="00D358F7" w:rsidP="00D358F7">
      <w:pPr>
        <w:pStyle w:val="BodyText"/>
        <w:spacing w:before="160" w:line="230" w:lineRule="exact"/>
        <w:ind w:left="160"/>
      </w:pPr>
      <w:r w:rsidRPr="00D358F7">
        <w:rPr>
          <w:b/>
        </w:rPr>
        <w:t>Day 2 Objectives:</w:t>
      </w:r>
      <w:r>
        <w:t xml:space="preserve"> Students will be able to:</w:t>
      </w:r>
    </w:p>
    <w:p w14:paraId="22613BD4" w14:textId="77777777" w:rsidR="00D358F7" w:rsidRDefault="00D358F7" w:rsidP="00D358F7">
      <w:pPr>
        <w:pStyle w:val="ListParagraph"/>
        <w:numPr>
          <w:ilvl w:val="0"/>
          <w:numId w:val="1"/>
        </w:numPr>
        <w:tabs>
          <w:tab w:val="left" w:pos="880"/>
          <w:tab w:val="left" w:pos="881"/>
        </w:tabs>
        <w:spacing w:line="230" w:lineRule="exact"/>
        <w:rPr>
          <w:sz w:val="20"/>
        </w:rPr>
      </w:pPr>
      <w:r>
        <w:rPr>
          <w:sz w:val="20"/>
        </w:rPr>
        <w:t xml:space="preserve">Describe </w:t>
      </w:r>
      <w:r w:rsidRPr="003632B3">
        <w:rPr>
          <w:sz w:val="20"/>
        </w:rPr>
        <w:t>at least two</w:t>
      </w:r>
      <w:r>
        <w:rPr>
          <w:sz w:val="20"/>
        </w:rPr>
        <w:t xml:space="preserve"> neuroanatomical changes that contribute to the development of PTSD.</w:t>
      </w:r>
    </w:p>
    <w:p w14:paraId="07410B16" w14:textId="77777777" w:rsidR="00D358F7" w:rsidRDefault="00D358F7" w:rsidP="00D358F7">
      <w:pPr>
        <w:pStyle w:val="ListParagraph"/>
        <w:numPr>
          <w:ilvl w:val="0"/>
          <w:numId w:val="1"/>
        </w:numPr>
        <w:tabs>
          <w:tab w:val="left" w:pos="880"/>
          <w:tab w:val="left" w:pos="881"/>
        </w:tabs>
        <w:spacing w:line="230" w:lineRule="exact"/>
        <w:rPr>
          <w:sz w:val="20"/>
        </w:rPr>
      </w:pPr>
      <w:r w:rsidRPr="003632B3">
        <w:rPr>
          <w:sz w:val="20"/>
        </w:rPr>
        <w:t>Explain the role of at least four features</w:t>
      </w:r>
      <w:r>
        <w:rPr>
          <w:sz w:val="20"/>
        </w:rPr>
        <w:t xml:space="preserve"> of the s</w:t>
      </w:r>
      <w:r w:rsidRPr="003B1673">
        <w:rPr>
          <w:sz w:val="20"/>
        </w:rPr>
        <w:t xml:space="preserve">ympathetic </w:t>
      </w:r>
      <w:r>
        <w:rPr>
          <w:sz w:val="20"/>
        </w:rPr>
        <w:t>n</w:t>
      </w:r>
      <w:r w:rsidRPr="003B1673">
        <w:rPr>
          <w:sz w:val="20"/>
        </w:rPr>
        <w:t xml:space="preserve">ervous </w:t>
      </w:r>
      <w:r>
        <w:rPr>
          <w:sz w:val="20"/>
        </w:rPr>
        <w:t>s</w:t>
      </w:r>
      <w:r w:rsidRPr="003B1673">
        <w:rPr>
          <w:sz w:val="20"/>
        </w:rPr>
        <w:t>ystem</w:t>
      </w:r>
      <w:r>
        <w:rPr>
          <w:sz w:val="20"/>
        </w:rPr>
        <w:t xml:space="preserve"> </w:t>
      </w:r>
      <w:r w:rsidRPr="003632B3">
        <w:rPr>
          <w:sz w:val="20"/>
        </w:rPr>
        <w:t xml:space="preserve">and the three neuroendocrine (hypothalamic-pituitary-adrenal axis; </w:t>
      </w:r>
      <w:r w:rsidRPr="003632B3">
        <w:rPr>
          <w:bCs/>
          <w:sz w:val="20"/>
        </w:rPr>
        <w:t>HPA) components</w:t>
      </w:r>
      <w:r>
        <w:rPr>
          <w:bCs/>
          <w:sz w:val="20"/>
        </w:rPr>
        <w:t xml:space="preserve"> i</w:t>
      </w:r>
      <w:r>
        <w:rPr>
          <w:sz w:val="20"/>
        </w:rPr>
        <w:t xml:space="preserve">n the development and maintenance of the symptoms of PTSD.  </w:t>
      </w:r>
    </w:p>
    <w:p w14:paraId="65530103" w14:textId="77777777" w:rsidR="00D358F7" w:rsidRPr="003632B3" w:rsidRDefault="00D358F7" w:rsidP="00D358F7">
      <w:pPr>
        <w:pStyle w:val="ListParagraph"/>
        <w:numPr>
          <w:ilvl w:val="0"/>
          <w:numId w:val="1"/>
        </w:numPr>
        <w:tabs>
          <w:tab w:val="left" w:pos="880"/>
          <w:tab w:val="left" w:pos="881"/>
        </w:tabs>
        <w:spacing w:line="230" w:lineRule="exact"/>
        <w:rPr>
          <w:sz w:val="20"/>
        </w:rPr>
      </w:pPr>
      <w:r w:rsidRPr="003632B3">
        <w:rPr>
          <w:sz w:val="20"/>
        </w:rPr>
        <w:t>Distinguish 1 difference between the negative and positive feedback loop of the HPA axis.</w:t>
      </w:r>
    </w:p>
    <w:p w14:paraId="3C5ACEDE" w14:textId="77777777" w:rsidR="00D358F7" w:rsidRDefault="00D358F7" w:rsidP="00D358F7">
      <w:pPr>
        <w:pStyle w:val="ListParagraph"/>
        <w:numPr>
          <w:ilvl w:val="0"/>
          <w:numId w:val="1"/>
        </w:numPr>
        <w:tabs>
          <w:tab w:val="left" w:pos="880"/>
          <w:tab w:val="left" w:pos="881"/>
        </w:tabs>
        <w:ind w:right="269"/>
        <w:rPr>
          <w:sz w:val="20"/>
        </w:rPr>
      </w:pPr>
      <w:r>
        <w:rPr>
          <w:sz w:val="20"/>
        </w:rPr>
        <w:t xml:space="preserve">Explain of the mechanisms of actions of the </w:t>
      </w:r>
      <w:r w:rsidRPr="0015443F">
        <w:rPr>
          <w:sz w:val="20"/>
          <w:u w:val="single"/>
        </w:rPr>
        <w:t>at least one</w:t>
      </w:r>
      <w:r>
        <w:rPr>
          <w:sz w:val="20"/>
        </w:rPr>
        <w:t xml:space="preserve"> Alpha and one Beta Antagonist used in treatment of PTSD.</w:t>
      </w:r>
    </w:p>
    <w:p w14:paraId="02BF0161" w14:textId="77777777" w:rsidR="00D358F7" w:rsidRDefault="00D358F7" w:rsidP="00D358F7">
      <w:pPr>
        <w:pStyle w:val="ListParagraph"/>
        <w:numPr>
          <w:ilvl w:val="0"/>
          <w:numId w:val="1"/>
        </w:numPr>
        <w:tabs>
          <w:tab w:val="left" w:pos="881"/>
          <w:tab w:val="left" w:pos="882"/>
        </w:tabs>
        <w:spacing w:before="1"/>
        <w:ind w:left="881" w:right="308"/>
        <w:rPr>
          <w:sz w:val="20"/>
        </w:rPr>
      </w:pPr>
      <w:r>
        <w:rPr>
          <w:sz w:val="20"/>
        </w:rPr>
        <w:t>Select the most appropriate psychotropic medications for the treatment of PTSD symptoms in two of the presented cases of individuals experiencing PTSD symptoms.</w:t>
      </w:r>
    </w:p>
    <w:p w14:paraId="74A49AD6" w14:textId="77777777" w:rsidR="00D358F7" w:rsidRDefault="00D358F7" w:rsidP="00D358F7">
      <w:pPr>
        <w:pStyle w:val="ListParagraph"/>
        <w:numPr>
          <w:ilvl w:val="0"/>
          <w:numId w:val="1"/>
        </w:numPr>
        <w:tabs>
          <w:tab w:val="left" w:pos="881"/>
          <w:tab w:val="left" w:pos="882"/>
        </w:tabs>
        <w:spacing w:before="1"/>
        <w:ind w:left="881" w:right="308"/>
        <w:rPr>
          <w:sz w:val="20"/>
        </w:rPr>
      </w:pPr>
      <w:r>
        <w:rPr>
          <w:sz w:val="20"/>
        </w:rPr>
        <w:t>Name two classes of drugs that are not recommended in the treatment of PTSD symptoms.</w:t>
      </w:r>
    </w:p>
    <w:p w14:paraId="7D6A9EA1" w14:textId="77777777" w:rsidR="004C0D7E" w:rsidRDefault="004C0D7E">
      <w:pPr>
        <w:rPr>
          <w:sz w:val="20"/>
        </w:rPr>
      </w:pPr>
      <w:r>
        <w:rPr>
          <w:sz w:val="20"/>
        </w:rPr>
        <w:br w:type="page"/>
      </w:r>
    </w:p>
    <w:p w14:paraId="69D4F136" w14:textId="67CEA3B1" w:rsidR="00D358F7" w:rsidRPr="003B1673" w:rsidRDefault="00D358F7" w:rsidP="00D358F7">
      <w:pPr>
        <w:pStyle w:val="ListParagraph"/>
        <w:numPr>
          <w:ilvl w:val="0"/>
          <w:numId w:val="1"/>
        </w:numPr>
        <w:tabs>
          <w:tab w:val="left" w:pos="881"/>
          <w:tab w:val="left" w:pos="882"/>
        </w:tabs>
        <w:spacing w:before="1"/>
        <w:ind w:left="881" w:right="308"/>
        <w:rPr>
          <w:sz w:val="20"/>
        </w:rPr>
      </w:pPr>
      <w:r>
        <w:rPr>
          <w:sz w:val="20"/>
        </w:rPr>
        <w:lastRenderedPageBreak/>
        <w:t xml:space="preserve">List two common </w:t>
      </w:r>
      <w:r w:rsidRPr="003B1673">
        <w:rPr>
          <w:sz w:val="20"/>
        </w:rPr>
        <w:t xml:space="preserve">co-morbid conditions with PTSD and </w:t>
      </w:r>
      <w:r>
        <w:rPr>
          <w:sz w:val="20"/>
        </w:rPr>
        <w:t>explain how treatment of the comorbid conditions may complicate the treatment of PTSD symptoms.</w:t>
      </w:r>
    </w:p>
    <w:p w14:paraId="2936A3EC" w14:textId="77777777" w:rsidR="00D358F7" w:rsidRDefault="00D358F7" w:rsidP="00D358F7">
      <w:pPr>
        <w:pStyle w:val="ListParagraph"/>
        <w:numPr>
          <w:ilvl w:val="0"/>
          <w:numId w:val="1"/>
        </w:numPr>
        <w:tabs>
          <w:tab w:val="left" w:pos="881"/>
          <w:tab w:val="left" w:pos="882"/>
        </w:tabs>
        <w:spacing w:before="1"/>
        <w:ind w:left="881" w:right="376"/>
        <w:rPr>
          <w:sz w:val="20"/>
        </w:rPr>
      </w:pPr>
      <w:r>
        <w:rPr>
          <w:sz w:val="20"/>
        </w:rPr>
        <w:t>Develop</w:t>
      </w:r>
      <w:r>
        <w:rPr>
          <w:spacing w:val="-4"/>
          <w:sz w:val="20"/>
        </w:rPr>
        <w:t xml:space="preserve"> </w:t>
      </w:r>
      <w:r w:rsidRPr="003632B3">
        <w:rPr>
          <w:sz w:val="20"/>
        </w:rPr>
        <w:t>one sample treatment</w:t>
      </w:r>
      <w:r>
        <w:rPr>
          <w:sz w:val="20"/>
        </w:rPr>
        <w:t xml:space="preserve"> plan for a patient, presented as a case example that is comprehensive and is based on the evidence that shows components of treatment that are most effective.</w:t>
      </w:r>
    </w:p>
    <w:p w14:paraId="303B5F84" w14:textId="77777777" w:rsidR="00D358F7" w:rsidRDefault="00D358F7" w:rsidP="00D358F7">
      <w:pPr>
        <w:pStyle w:val="ListParagraph"/>
        <w:numPr>
          <w:ilvl w:val="0"/>
          <w:numId w:val="1"/>
        </w:numPr>
        <w:tabs>
          <w:tab w:val="left" w:pos="881"/>
          <w:tab w:val="left" w:pos="882"/>
        </w:tabs>
        <w:spacing w:line="230" w:lineRule="exact"/>
        <w:ind w:left="881"/>
        <w:rPr>
          <w:sz w:val="20"/>
        </w:rPr>
      </w:pPr>
      <w:r>
        <w:rPr>
          <w:sz w:val="20"/>
        </w:rPr>
        <w:t>List two important factors that distinguish PTSD from other anxiety disorders.</w:t>
      </w:r>
    </w:p>
    <w:p w14:paraId="62CBD04B" w14:textId="77777777" w:rsidR="0099080C" w:rsidRDefault="0099080C">
      <w:pPr>
        <w:pStyle w:val="BodyText"/>
      </w:pPr>
    </w:p>
    <w:p w14:paraId="4002A6DC" w14:textId="77777777" w:rsidR="0099080C" w:rsidRDefault="0058692F">
      <w:pPr>
        <w:pStyle w:val="BodyText"/>
        <w:ind w:left="161" w:right="126" w:hanging="1"/>
      </w:pPr>
      <w:r>
        <w:rPr>
          <w:b/>
        </w:rPr>
        <w:t xml:space="preserve">Homework: </w:t>
      </w:r>
      <w:r>
        <w:t>The students will be presented with one or more complex case(s) and will be asked to respond to questions about that case. At times, students will also be expected to read journal assignments; and respond in class or discussion threads (in Canvas).</w:t>
      </w:r>
    </w:p>
    <w:p w14:paraId="40C8290D" w14:textId="77777777" w:rsidR="0099080C" w:rsidRDefault="0099080C">
      <w:pPr>
        <w:pStyle w:val="BodyText"/>
      </w:pPr>
    </w:p>
    <w:p w14:paraId="59DBBD79" w14:textId="2F0EAC7E" w:rsidR="0099080C" w:rsidRDefault="0058692F">
      <w:pPr>
        <w:pStyle w:val="BodyText"/>
        <w:ind w:left="161" w:right="119"/>
      </w:pPr>
      <w:r>
        <w:rPr>
          <w:b/>
        </w:rPr>
        <w:t>Evaluation</w:t>
      </w:r>
      <w:r>
        <w:t>: Student participation, preparation, and attendance is observed. There will be a test (multiple choice, short answer or true/false) which, depending on the plan of the Instructor, may be given to students before class. If the test is given to the students before class, then students should come to class with the test completed because the content will be reviewed during the lecture(s). The exam will be graded after it is taken as a closed-book, time limited test at the end of the weekend of didactic training. Case studies presenting patients with dual diagnoses of medical and psychological problems will be distributed. Students will be expected to formulate a comprehensive analysis of the case(s) utilizing clinical judgment, course materials, and any necessary references. Instructors may also elect to include reading (e.g. journal) assignments for discussion and/or written assignments that demonstrate clinical documentation which meets the standard of care for patient care documentation. Additional assignments will be factored into a weighted or alternative point value system leading to the determination of a letter grade using the rubric below. Typically, students have two weeks to complete all assignments. All submissions must be made by 11:59 pm on the day of the announced deadline.</w:t>
      </w:r>
    </w:p>
    <w:p w14:paraId="5E00BE6C" w14:textId="77777777" w:rsidR="0099080C" w:rsidRDefault="0099080C">
      <w:pPr>
        <w:pStyle w:val="BodyText"/>
        <w:spacing w:before="1"/>
      </w:pPr>
    </w:p>
    <w:p w14:paraId="5D960B8D" w14:textId="77777777" w:rsidR="0099080C" w:rsidRDefault="0058692F">
      <w:pPr>
        <w:tabs>
          <w:tab w:val="left" w:pos="5199"/>
        </w:tabs>
        <w:ind w:left="160"/>
        <w:rPr>
          <w:b/>
          <w:sz w:val="20"/>
        </w:rPr>
      </w:pPr>
      <w:r>
        <w:rPr>
          <w:b/>
          <w:sz w:val="20"/>
        </w:rPr>
        <w:t>Standard</w:t>
      </w:r>
      <w:r>
        <w:rPr>
          <w:b/>
          <w:spacing w:val="-3"/>
          <w:sz w:val="20"/>
        </w:rPr>
        <w:t xml:space="preserve"> </w:t>
      </w:r>
      <w:r>
        <w:rPr>
          <w:b/>
          <w:sz w:val="20"/>
        </w:rPr>
        <w:t>Grading</w:t>
      </w:r>
      <w:r>
        <w:rPr>
          <w:b/>
          <w:spacing w:val="-3"/>
          <w:sz w:val="20"/>
        </w:rPr>
        <w:t xml:space="preserve"> </w:t>
      </w:r>
      <w:r>
        <w:rPr>
          <w:b/>
          <w:sz w:val="20"/>
        </w:rPr>
        <w:t>Assignments</w:t>
      </w:r>
      <w:r>
        <w:rPr>
          <w:b/>
          <w:sz w:val="20"/>
        </w:rPr>
        <w:tab/>
        <w:t>Points Possible</w:t>
      </w:r>
    </w:p>
    <w:tbl>
      <w:tblPr>
        <w:tblW w:w="0" w:type="auto"/>
        <w:tblInd w:w="167" w:type="dxa"/>
        <w:tblLayout w:type="fixed"/>
        <w:tblCellMar>
          <w:left w:w="0" w:type="dxa"/>
          <w:right w:w="0" w:type="dxa"/>
        </w:tblCellMar>
        <w:tblLook w:val="01E0" w:firstRow="1" w:lastRow="1" w:firstColumn="1" w:lastColumn="1" w:noHBand="0" w:noVBand="0"/>
      </w:tblPr>
      <w:tblGrid>
        <w:gridCol w:w="4227"/>
        <w:gridCol w:w="1594"/>
        <w:gridCol w:w="336"/>
      </w:tblGrid>
      <w:tr w:rsidR="0099080C" w14:paraId="643FB7F1" w14:textId="77777777" w:rsidTr="009803DF">
        <w:trPr>
          <w:trHeight w:val="315"/>
        </w:trPr>
        <w:tc>
          <w:tcPr>
            <w:tcW w:w="4227" w:type="dxa"/>
            <w:tcBorders>
              <w:top w:val="single" w:sz="8" w:space="0" w:color="000000"/>
            </w:tcBorders>
          </w:tcPr>
          <w:p w14:paraId="604603A7" w14:textId="77777777" w:rsidR="0099080C" w:rsidRDefault="0058692F">
            <w:pPr>
              <w:pStyle w:val="TableParagraph"/>
              <w:spacing w:line="212" w:lineRule="exact"/>
              <w:rPr>
                <w:i/>
                <w:sz w:val="20"/>
              </w:rPr>
            </w:pPr>
            <w:r>
              <w:rPr>
                <w:i/>
                <w:sz w:val="20"/>
              </w:rPr>
              <w:t>Test (30 questions @ 1pt. each)</w:t>
            </w:r>
          </w:p>
        </w:tc>
        <w:tc>
          <w:tcPr>
            <w:tcW w:w="1594" w:type="dxa"/>
            <w:tcBorders>
              <w:top w:val="single" w:sz="8" w:space="0" w:color="000000"/>
            </w:tcBorders>
          </w:tcPr>
          <w:p w14:paraId="7906F8ED" w14:textId="77777777" w:rsidR="0099080C" w:rsidRDefault="0058692F">
            <w:pPr>
              <w:pStyle w:val="TableParagraph"/>
              <w:spacing w:line="212" w:lineRule="exact"/>
              <w:ind w:right="49"/>
              <w:jc w:val="right"/>
              <w:rPr>
                <w:i/>
                <w:sz w:val="20"/>
              </w:rPr>
            </w:pPr>
            <w:r>
              <w:rPr>
                <w:i/>
                <w:sz w:val="20"/>
              </w:rPr>
              <w:t>30</w:t>
            </w:r>
          </w:p>
        </w:tc>
        <w:tc>
          <w:tcPr>
            <w:tcW w:w="336" w:type="dxa"/>
            <w:tcBorders>
              <w:top w:val="single" w:sz="8" w:space="0" w:color="000000"/>
            </w:tcBorders>
          </w:tcPr>
          <w:p w14:paraId="1B88A572" w14:textId="77777777" w:rsidR="0099080C" w:rsidRDefault="0058692F">
            <w:pPr>
              <w:pStyle w:val="TableParagraph"/>
              <w:spacing w:line="212" w:lineRule="exact"/>
              <w:jc w:val="right"/>
              <w:rPr>
                <w:i/>
                <w:sz w:val="20"/>
              </w:rPr>
            </w:pPr>
            <w:r>
              <w:rPr>
                <w:i/>
                <w:sz w:val="20"/>
              </w:rPr>
              <w:t>pts.</w:t>
            </w:r>
          </w:p>
        </w:tc>
      </w:tr>
      <w:tr w:rsidR="0099080C" w14:paraId="7E52CE1D" w14:textId="77777777" w:rsidTr="009803DF">
        <w:trPr>
          <w:trHeight w:val="311"/>
        </w:trPr>
        <w:tc>
          <w:tcPr>
            <w:tcW w:w="4227" w:type="dxa"/>
          </w:tcPr>
          <w:p w14:paraId="7B8074DC" w14:textId="77777777" w:rsidR="0099080C" w:rsidRDefault="0058692F">
            <w:pPr>
              <w:pStyle w:val="TableParagraph"/>
              <w:rPr>
                <w:i/>
                <w:sz w:val="20"/>
              </w:rPr>
            </w:pPr>
            <w:r>
              <w:rPr>
                <w:i/>
                <w:sz w:val="20"/>
              </w:rPr>
              <w:t>Case Study Analysis/Vignette</w:t>
            </w:r>
          </w:p>
        </w:tc>
        <w:tc>
          <w:tcPr>
            <w:tcW w:w="1594" w:type="dxa"/>
          </w:tcPr>
          <w:p w14:paraId="0A1013BC" w14:textId="77777777" w:rsidR="0099080C" w:rsidRDefault="0058692F">
            <w:pPr>
              <w:pStyle w:val="TableParagraph"/>
              <w:ind w:right="49"/>
              <w:jc w:val="right"/>
              <w:rPr>
                <w:i/>
                <w:sz w:val="20"/>
              </w:rPr>
            </w:pPr>
            <w:r>
              <w:rPr>
                <w:i/>
                <w:sz w:val="20"/>
              </w:rPr>
              <w:t>60</w:t>
            </w:r>
          </w:p>
        </w:tc>
        <w:tc>
          <w:tcPr>
            <w:tcW w:w="336" w:type="dxa"/>
          </w:tcPr>
          <w:p w14:paraId="25D1D7DC" w14:textId="77777777" w:rsidR="0099080C" w:rsidRDefault="0058692F">
            <w:pPr>
              <w:pStyle w:val="TableParagraph"/>
              <w:jc w:val="right"/>
              <w:rPr>
                <w:i/>
                <w:sz w:val="20"/>
              </w:rPr>
            </w:pPr>
            <w:r>
              <w:rPr>
                <w:i/>
                <w:sz w:val="20"/>
              </w:rPr>
              <w:t>pts.</w:t>
            </w:r>
          </w:p>
        </w:tc>
      </w:tr>
      <w:tr w:rsidR="0099080C" w14:paraId="7D75C4FF" w14:textId="77777777" w:rsidTr="009803DF">
        <w:trPr>
          <w:trHeight w:val="623"/>
        </w:trPr>
        <w:tc>
          <w:tcPr>
            <w:tcW w:w="4227" w:type="dxa"/>
          </w:tcPr>
          <w:p w14:paraId="49BA1B68" w14:textId="77777777" w:rsidR="0099080C" w:rsidRDefault="0058692F">
            <w:pPr>
              <w:pStyle w:val="TableParagraph"/>
              <w:spacing w:line="216" w:lineRule="exact"/>
              <w:rPr>
                <w:i/>
                <w:sz w:val="20"/>
              </w:rPr>
            </w:pPr>
            <w:r>
              <w:rPr>
                <w:i/>
                <w:sz w:val="20"/>
              </w:rPr>
              <w:t>Participation/Attendance (live or via</w:t>
            </w:r>
          </w:p>
          <w:p w14:paraId="03BA3BC7" w14:textId="77777777" w:rsidR="0099080C" w:rsidRDefault="0058692F">
            <w:pPr>
              <w:pStyle w:val="TableParagraph"/>
              <w:spacing w:line="222" w:lineRule="exact"/>
              <w:rPr>
                <w:i/>
                <w:sz w:val="20"/>
              </w:rPr>
            </w:pPr>
            <w:r>
              <w:rPr>
                <w:i/>
                <w:sz w:val="20"/>
              </w:rPr>
              <w:t>AdobeConnect)</w:t>
            </w:r>
          </w:p>
        </w:tc>
        <w:tc>
          <w:tcPr>
            <w:tcW w:w="1594" w:type="dxa"/>
          </w:tcPr>
          <w:p w14:paraId="1A93F05A" w14:textId="77777777" w:rsidR="0099080C" w:rsidRDefault="0058692F">
            <w:pPr>
              <w:pStyle w:val="TableParagraph"/>
              <w:spacing w:line="212" w:lineRule="exact"/>
              <w:ind w:right="49"/>
              <w:jc w:val="right"/>
              <w:rPr>
                <w:i/>
                <w:sz w:val="20"/>
              </w:rPr>
            </w:pPr>
            <w:r>
              <w:rPr>
                <w:i/>
                <w:sz w:val="20"/>
              </w:rPr>
              <w:t>10</w:t>
            </w:r>
          </w:p>
        </w:tc>
        <w:tc>
          <w:tcPr>
            <w:tcW w:w="336" w:type="dxa"/>
          </w:tcPr>
          <w:p w14:paraId="387862DF" w14:textId="77777777" w:rsidR="0099080C" w:rsidRDefault="0058692F">
            <w:pPr>
              <w:pStyle w:val="TableParagraph"/>
              <w:spacing w:line="212" w:lineRule="exact"/>
              <w:ind w:right="8"/>
              <w:jc w:val="right"/>
              <w:rPr>
                <w:i/>
                <w:sz w:val="20"/>
              </w:rPr>
            </w:pPr>
            <w:r>
              <w:rPr>
                <w:i/>
                <w:sz w:val="20"/>
              </w:rPr>
              <w:t>pts.</w:t>
            </w:r>
          </w:p>
        </w:tc>
      </w:tr>
    </w:tbl>
    <w:p w14:paraId="2A136F7C" w14:textId="77777777" w:rsidR="0099080C" w:rsidRDefault="0099080C">
      <w:pPr>
        <w:spacing w:line="212" w:lineRule="exact"/>
        <w:jc w:val="right"/>
        <w:rPr>
          <w:sz w:val="20"/>
        </w:rPr>
        <w:sectPr w:rsidR="0099080C">
          <w:footerReference w:type="default" r:id="rId11"/>
          <w:pgSz w:w="12240" w:h="15840"/>
          <w:pgMar w:top="1360" w:right="1320" w:bottom="1260" w:left="1280" w:header="0" w:footer="1064" w:gutter="0"/>
          <w:cols w:space="720"/>
        </w:sectPr>
      </w:pPr>
    </w:p>
    <w:p w14:paraId="46A8C3D5" w14:textId="77777777" w:rsidR="0099080C" w:rsidRDefault="0058692F">
      <w:pPr>
        <w:spacing w:before="80" w:line="228" w:lineRule="exact"/>
        <w:ind w:left="160"/>
        <w:rPr>
          <w:b/>
          <w:i/>
          <w:sz w:val="20"/>
        </w:rPr>
      </w:pPr>
      <w:r>
        <w:rPr>
          <w:b/>
          <w:sz w:val="20"/>
          <w:u w:val="single"/>
        </w:rPr>
        <w:lastRenderedPageBreak/>
        <w:t>Course grades</w:t>
      </w:r>
      <w:r>
        <w:rPr>
          <w:b/>
          <w:i/>
          <w:sz w:val="20"/>
        </w:rPr>
        <w:t>:</w:t>
      </w:r>
    </w:p>
    <w:p w14:paraId="536DAFC6" w14:textId="77777777" w:rsidR="0099080C" w:rsidRDefault="0058692F">
      <w:pPr>
        <w:tabs>
          <w:tab w:val="left" w:pos="1776"/>
        </w:tabs>
        <w:ind w:left="160" w:right="7330"/>
        <w:rPr>
          <w:i/>
          <w:sz w:val="20"/>
        </w:rPr>
      </w:pPr>
      <w:r>
        <w:rPr>
          <w:i/>
          <w:sz w:val="20"/>
        </w:rPr>
        <w:t>90-100</w:t>
      </w:r>
      <w:r>
        <w:rPr>
          <w:i/>
          <w:spacing w:val="-3"/>
          <w:sz w:val="20"/>
        </w:rPr>
        <w:t xml:space="preserve"> </w:t>
      </w:r>
      <w:r>
        <w:rPr>
          <w:i/>
          <w:sz w:val="20"/>
        </w:rPr>
        <w:t>pts</w:t>
      </w:r>
      <w:r>
        <w:rPr>
          <w:i/>
          <w:spacing w:val="-1"/>
          <w:sz w:val="20"/>
        </w:rPr>
        <w:t xml:space="preserve"> </w:t>
      </w:r>
      <w:r>
        <w:rPr>
          <w:i/>
          <w:sz w:val="20"/>
        </w:rPr>
        <w:t>total</w:t>
      </w:r>
      <w:r>
        <w:rPr>
          <w:i/>
          <w:sz w:val="20"/>
        </w:rPr>
        <w:tab/>
        <w:t xml:space="preserve">= </w:t>
      </w:r>
      <w:r>
        <w:rPr>
          <w:i/>
          <w:spacing w:val="-6"/>
          <w:sz w:val="20"/>
        </w:rPr>
        <w:t xml:space="preserve">“A” </w:t>
      </w:r>
      <w:r>
        <w:rPr>
          <w:i/>
          <w:sz w:val="20"/>
        </w:rPr>
        <w:t>80-89</w:t>
      </w:r>
      <w:r>
        <w:rPr>
          <w:i/>
          <w:spacing w:val="-2"/>
          <w:sz w:val="20"/>
        </w:rPr>
        <w:t xml:space="preserve"> </w:t>
      </w:r>
      <w:r>
        <w:rPr>
          <w:i/>
          <w:sz w:val="20"/>
        </w:rPr>
        <w:t>pts</w:t>
      </w:r>
      <w:r>
        <w:rPr>
          <w:i/>
          <w:spacing w:val="-1"/>
          <w:sz w:val="20"/>
        </w:rPr>
        <w:t xml:space="preserve"> </w:t>
      </w:r>
      <w:r>
        <w:rPr>
          <w:i/>
          <w:sz w:val="20"/>
        </w:rPr>
        <w:t>total</w:t>
      </w:r>
      <w:r>
        <w:rPr>
          <w:i/>
          <w:sz w:val="20"/>
        </w:rPr>
        <w:tab/>
        <w:t>=</w:t>
      </w:r>
      <w:r>
        <w:rPr>
          <w:i/>
          <w:spacing w:val="4"/>
          <w:sz w:val="20"/>
        </w:rPr>
        <w:t xml:space="preserve"> </w:t>
      </w:r>
      <w:r>
        <w:rPr>
          <w:i/>
          <w:spacing w:val="-7"/>
          <w:sz w:val="20"/>
        </w:rPr>
        <w:t>“B”</w:t>
      </w:r>
    </w:p>
    <w:p w14:paraId="31FD2043" w14:textId="77777777" w:rsidR="0099080C" w:rsidRDefault="0058692F">
      <w:pPr>
        <w:tabs>
          <w:tab w:val="left" w:pos="1777"/>
        </w:tabs>
        <w:ind w:left="160"/>
        <w:rPr>
          <w:i/>
          <w:sz w:val="20"/>
        </w:rPr>
      </w:pPr>
      <w:r>
        <w:rPr>
          <w:i/>
          <w:sz w:val="20"/>
        </w:rPr>
        <w:t>70-79</w:t>
      </w:r>
      <w:r>
        <w:rPr>
          <w:i/>
          <w:spacing w:val="-2"/>
          <w:sz w:val="20"/>
        </w:rPr>
        <w:t xml:space="preserve"> </w:t>
      </w:r>
      <w:r>
        <w:rPr>
          <w:i/>
          <w:sz w:val="20"/>
        </w:rPr>
        <w:t>pts</w:t>
      </w:r>
      <w:r>
        <w:rPr>
          <w:i/>
          <w:spacing w:val="-1"/>
          <w:sz w:val="20"/>
        </w:rPr>
        <w:t xml:space="preserve"> </w:t>
      </w:r>
      <w:r>
        <w:rPr>
          <w:i/>
          <w:sz w:val="20"/>
        </w:rPr>
        <w:t>total</w:t>
      </w:r>
      <w:r>
        <w:rPr>
          <w:i/>
          <w:sz w:val="20"/>
        </w:rPr>
        <w:tab/>
        <w:t>=</w:t>
      </w:r>
      <w:r>
        <w:rPr>
          <w:i/>
          <w:spacing w:val="-2"/>
          <w:sz w:val="20"/>
        </w:rPr>
        <w:t xml:space="preserve"> </w:t>
      </w:r>
      <w:r>
        <w:rPr>
          <w:i/>
          <w:sz w:val="20"/>
        </w:rPr>
        <w:t>“C”</w:t>
      </w:r>
    </w:p>
    <w:p w14:paraId="56CB824E" w14:textId="77777777" w:rsidR="0099080C" w:rsidRDefault="0099080C">
      <w:pPr>
        <w:pStyle w:val="BodyText"/>
        <w:spacing w:before="11"/>
        <w:rPr>
          <w:i/>
          <w:sz w:val="19"/>
        </w:rPr>
      </w:pPr>
    </w:p>
    <w:p w14:paraId="5852CD9D" w14:textId="77777777" w:rsidR="0099080C" w:rsidRDefault="0058692F">
      <w:pPr>
        <w:ind w:left="159" w:right="115"/>
        <w:jc w:val="both"/>
        <w:rPr>
          <w:i/>
          <w:sz w:val="20"/>
        </w:rPr>
      </w:pPr>
      <w:r>
        <w:rPr>
          <w:b/>
          <w:i/>
          <w:sz w:val="20"/>
        </w:rPr>
        <w:t xml:space="preserve">Students with Disabilities: </w:t>
      </w:r>
      <w:r>
        <w:rPr>
          <w:i/>
          <w:sz w:val="20"/>
        </w:rPr>
        <w:t>If you have or believe you have a disability, you may wish to self-identify. You can do so by</w:t>
      </w:r>
      <w:r>
        <w:rPr>
          <w:i/>
          <w:spacing w:val="-14"/>
          <w:sz w:val="20"/>
        </w:rPr>
        <w:t xml:space="preserve"> </w:t>
      </w:r>
      <w:r>
        <w:rPr>
          <w:i/>
          <w:sz w:val="20"/>
        </w:rPr>
        <w:t>providing</w:t>
      </w:r>
      <w:r>
        <w:rPr>
          <w:i/>
          <w:spacing w:val="-13"/>
          <w:sz w:val="20"/>
        </w:rPr>
        <w:t xml:space="preserve"> </w:t>
      </w:r>
      <w:r>
        <w:rPr>
          <w:i/>
          <w:sz w:val="20"/>
        </w:rPr>
        <w:t>documentation</w:t>
      </w:r>
      <w:r>
        <w:rPr>
          <w:i/>
          <w:spacing w:val="-13"/>
          <w:sz w:val="20"/>
        </w:rPr>
        <w:t xml:space="preserve"> </w:t>
      </w:r>
      <w:r>
        <w:rPr>
          <w:i/>
          <w:sz w:val="20"/>
        </w:rPr>
        <w:t>to</w:t>
      </w:r>
      <w:r>
        <w:rPr>
          <w:i/>
          <w:spacing w:val="-13"/>
          <w:sz w:val="20"/>
        </w:rPr>
        <w:t xml:space="preserve"> </w:t>
      </w:r>
      <w:r>
        <w:rPr>
          <w:i/>
          <w:sz w:val="20"/>
        </w:rPr>
        <w:t>the</w:t>
      </w:r>
      <w:r>
        <w:rPr>
          <w:i/>
          <w:spacing w:val="-14"/>
          <w:sz w:val="20"/>
        </w:rPr>
        <w:t xml:space="preserve"> </w:t>
      </w:r>
      <w:r>
        <w:rPr>
          <w:i/>
          <w:sz w:val="20"/>
        </w:rPr>
        <w:t>Office</w:t>
      </w:r>
      <w:r>
        <w:rPr>
          <w:i/>
          <w:spacing w:val="-14"/>
          <w:sz w:val="20"/>
        </w:rPr>
        <w:t xml:space="preserve"> </w:t>
      </w:r>
      <w:r>
        <w:rPr>
          <w:i/>
          <w:sz w:val="20"/>
        </w:rPr>
        <w:t>of</w:t>
      </w:r>
      <w:r>
        <w:rPr>
          <w:i/>
          <w:spacing w:val="-14"/>
          <w:sz w:val="20"/>
        </w:rPr>
        <w:t xml:space="preserve"> </w:t>
      </w:r>
      <w:r>
        <w:rPr>
          <w:i/>
          <w:sz w:val="20"/>
        </w:rPr>
        <w:t>Student</w:t>
      </w:r>
      <w:r>
        <w:rPr>
          <w:i/>
          <w:spacing w:val="-13"/>
          <w:sz w:val="20"/>
        </w:rPr>
        <w:t xml:space="preserve"> </w:t>
      </w:r>
      <w:r>
        <w:rPr>
          <w:i/>
          <w:sz w:val="20"/>
        </w:rPr>
        <w:t>Accessibility</w:t>
      </w:r>
      <w:r>
        <w:rPr>
          <w:i/>
          <w:spacing w:val="-14"/>
          <w:sz w:val="20"/>
        </w:rPr>
        <w:t xml:space="preserve"> </w:t>
      </w:r>
      <w:r>
        <w:rPr>
          <w:i/>
          <w:sz w:val="20"/>
        </w:rPr>
        <w:t>Services</w:t>
      </w:r>
      <w:r>
        <w:rPr>
          <w:i/>
          <w:spacing w:val="-14"/>
          <w:sz w:val="20"/>
        </w:rPr>
        <w:t xml:space="preserve"> </w:t>
      </w:r>
      <w:r>
        <w:rPr>
          <w:i/>
          <w:sz w:val="20"/>
        </w:rPr>
        <w:t>(SAS),</w:t>
      </w:r>
      <w:r>
        <w:rPr>
          <w:i/>
          <w:spacing w:val="-13"/>
          <w:sz w:val="20"/>
        </w:rPr>
        <w:t xml:space="preserve"> </w:t>
      </w:r>
      <w:r>
        <w:rPr>
          <w:i/>
          <w:sz w:val="20"/>
        </w:rPr>
        <w:t>located</w:t>
      </w:r>
      <w:r>
        <w:rPr>
          <w:i/>
          <w:spacing w:val="-14"/>
          <w:sz w:val="20"/>
        </w:rPr>
        <w:t xml:space="preserve"> </w:t>
      </w:r>
      <w:r>
        <w:rPr>
          <w:i/>
          <w:sz w:val="20"/>
        </w:rPr>
        <w:t>at</w:t>
      </w:r>
      <w:r>
        <w:rPr>
          <w:i/>
          <w:spacing w:val="-14"/>
          <w:sz w:val="20"/>
        </w:rPr>
        <w:t xml:space="preserve"> </w:t>
      </w:r>
      <w:r>
        <w:rPr>
          <w:i/>
          <w:sz w:val="20"/>
        </w:rPr>
        <w:t>the</w:t>
      </w:r>
      <w:r>
        <w:rPr>
          <w:i/>
          <w:spacing w:val="-14"/>
          <w:sz w:val="20"/>
        </w:rPr>
        <w:t xml:space="preserve"> </w:t>
      </w:r>
      <w:r>
        <w:rPr>
          <w:i/>
          <w:sz w:val="20"/>
        </w:rPr>
        <w:t>Corbett</w:t>
      </w:r>
      <w:r>
        <w:rPr>
          <w:i/>
          <w:spacing w:val="-13"/>
          <w:sz w:val="20"/>
        </w:rPr>
        <w:t xml:space="preserve"> </w:t>
      </w:r>
      <w:r>
        <w:rPr>
          <w:i/>
          <w:sz w:val="20"/>
        </w:rPr>
        <w:t>Center</w:t>
      </w:r>
      <w:r>
        <w:rPr>
          <w:i/>
          <w:spacing w:val="-14"/>
          <w:sz w:val="20"/>
        </w:rPr>
        <w:t xml:space="preserve"> </w:t>
      </w:r>
      <w:r>
        <w:rPr>
          <w:i/>
          <w:sz w:val="20"/>
        </w:rPr>
        <w:t xml:space="preserve">Student Union, Room 208 (Telephone 575-646-6840, Fax 575-646-5222, E-Mail: </w:t>
      </w:r>
      <w:r>
        <w:rPr>
          <w:i/>
          <w:color w:val="0000FF"/>
          <w:sz w:val="20"/>
          <w:u w:val="single" w:color="0000FF"/>
        </w:rPr>
        <w:t>sas@nmsu.edu</w:t>
      </w:r>
      <w:r>
        <w:rPr>
          <w:i/>
          <w:sz w:val="20"/>
        </w:rPr>
        <w:t xml:space="preserve">).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SAS, Trudy </w:t>
      </w:r>
      <w:proofErr w:type="spellStart"/>
      <w:r>
        <w:rPr>
          <w:i/>
          <w:sz w:val="20"/>
        </w:rPr>
        <w:t>Luken</w:t>
      </w:r>
      <w:proofErr w:type="spellEnd"/>
      <w:r>
        <w:rPr>
          <w:i/>
          <w:sz w:val="20"/>
        </w:rPr>
        <w:t>. If you have questions about the Americans with Disabilities Act (ADA), call 575-646-3635. Students should contact the Office of Institutional Equity (575-646- 3635) only if they feel they have been discriminated against in any</w:t>
      </w:r>
      <w:r>
        <w:rPr>
          <w:i/>
          <w:spacing w:val="-12"/>
          <w:sz w:val="20"/>
        </w:rPr>
        <w:t xml:space="preserve"> </w:t>
      </w:r>
      <w:r>
        <w:rPr>
          <w:i/>
          <w:sz w:val="20"/>
        </w:rPr>
        <w:t>category.</w:t>
      </w:r>
    </w:p>
    <w:p w14:paraId="7BA6F3B9" w14:textId="77777777" w:rsidR="0099080C" w:rsidRDefault="0099080C">
      <w:pPr>
        <w:pStyle w:val="BodyText"/>
        <w:spacing w:before="3"/>
        <w:rPr>
          <w:i/>
          <w:sz w:val="24"/>
        </w:rPr>
      </w:pPr>
    </w:p>
    <w:p w14:paraId="4EE0EB6E" w14:textId="77777777" w:rsidR="0099080C" w:rsidRDefault="0058692F">
      <w:pPr>
        <w:ind w:left="160" w:right="150"/>
        <w:rPr>
          <w:i/>
          <w:sz w:val="20"/>
        </w:rPr>
      </w:pPr>
      <w:r>
        <w:rPr>
          <w:b/>
          <w:i/>
          <w:color w:val="1B1B1B"/>
          <w:sz w:val="20"/>
        </w:rPr>
        <w:t xml:space="preserve">Student complaints: </w:t>
      </w:r>
      <w:r>
        <w:rPr>
          <w:i/>
          <w:color w:val="1B1B1B"/>
          <w:sz w:val="20"/>
        </w:rPr>
        <w:t xml:space="preserve">If students have a complaint about a course, they are advised to discuss their concerns directly with the instructor whenever possible. If that does not resolve the problem or if they cannot approach the instructor, students should either access NMSU’s online complaint system at </w:t>
      </w:r>
      <w:r>
        <w:rPr>
          <w:i/>
          <w:color w:val="0000FF"/>
          <w:sz w:val="20"/>
          <w:u w:val="single" w:color="0000FF"/>
        </w:rPr>
        <w:t>https://dos.nmsu.edu/concerns/</w:t>
      </w:r>
      <w:r>
        <w:rPr>
          <w:i/>
          <w:color w:val="0000FF"/>
          <w:sz w:val="20"/>
        </w:rPr>
        <w:t xml:space="preserve"> </w:t>
      </w:r>
      <w:r>
        <w:rPr>
          <w:i/>
          <w:color w:val="1B1B1B"/>
          <w:sz w:val="20"/>
        </w:rPr>
        <w:t>or seek out the department head (</w:t>
      </w:r>
      <w:r>
        <w:rPr>
          <w:i/>
          <w:color w:val="0000FF"/>
          <w:sz w:val="20"/>
          <w:u w:val="single" w:color="0000FF"/>
        </w:rPr>
        <w:t>bgormley@nmsu.edu</w:t>
      </w:r>
      <w:r>
        <w:rPr>
          <w:i/>
          <w:color w:val="1B1B1B"/>
          <w:sz w:val="20"/>
        </w:rPr>
        <w:t>) for help resolving the problem. Both of these processes provide opportunities for the department head to know about issues that need attention and for instructors to receive information about student concerns so that they can respond.</w:t>
      </w:r>
    </w:p>
    <w:p w14:paraId="25B4B21B" w14:textId="77777777" w:rsidR="0099080C" w:rsidRDefault="0099080C">
      <w:pPr>
        <w:pStyle w:val="BodyText"/>
        <w:spacing w:before="5"/>
        <w:rPr>
          <w:i/>
          <w:sz w:val="24"/>
        </w:rPr>
      </w:pPr>
    </w:p>
    <w:p w14:paraId="202172CD" w14:textId="77777777" w:rsidR="0099080C" w:rsidRDefault="0058692F">
      <w:pPr>
        <w:ind w:left="160" w:right="161"/>
        <w:rPr>
          <w:i/>
          <w:sz w:val="20"/>
        </w:rPr>
      </w:pPr>
      <w:r>
        <w:rPr>
          <w:b/>
          <w:sz w:val="20"/>
        </w:rPr>
        <w:t xml:space="preserve">Further Notice: </w:t>
      </w:r>
      <w:r>
        <w:rPr>
          <w:i/>
          <w:sz w:val="20"/>
        </w:rPr>
        <w:t>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w:t>
      </w:r>
    </w:p>
    <w:p w14:paraId="3E3DF6C4" w14:textId="77777777" w:rsidR="0099080C" w:rsidRDefault="0099080C">
      <w:pPr>
        <w:pStyle w:val="BodyText"/>
        <w:spacing w:before="11"/>
        <w:rPr>
          <w:i/>
          <w:sz w:val="19"/>
        </w:rPr>
      </w:pPr>
    </w:p>
    <w:p w14:paraId="6A30A44D" w14:textId="77777777" w:rsidR="0099080C" w:rsidRDefault="0058692F">
      <w:pPr>
        <w:pStyle w:val="BodyText"/>
        <w:ind w:left="880"/>
      </w:pPr>
      <w:r>
        <w:t xml:space="preserve">Trudy </w:t>
      </w:r>
      <w:proofErr w:type="spellStart"/>
      <w:r>
        <w:t>Luken</w:t>
      </w:r>
      <w:proofErr w:type="spellEnd"/>
      <w:r>
        <w:t>, Director</w:t>
      </w:r>
    </w:p>
    <w:p w14:paraId="671C1BC6" w14:textId="77777777" w:rsidR="0099080C" w:rsidRDefault="0058692F">
      <w:pPr>
        <w:pStyle w:val="BodyText"/>
        <w:ind w:left="880" w:right="2408" w:hanging="1"/>
      </w:pPr>
      <w:r>
        <w:t xml:space="preserve">Student Accessibility Services (SAS) - Corbett Center Student Union, Rm. 208 Phone: (575) 646-6840 E-mail: </w:t>
      </w:r>
      <w:hyperlink r:id="rId12">
        <w:r>
          <w:t>sas@nmsu.edu</w:t>
        </w:r>
      </w:hyperlink>
    </w:p>
    <w:p w14:paraId="3C627A29" w14:textId="77777777" w:rsidR="0099080C" w:rsidRDefault="0058692F">
      <w:pPr>
        <w:pStyle w:val="BodyText"/>
        <w:spacing w:line="230" w:lineRule="exact"/>
        <w:ind w:left="880"/>
      </w:pPr>
      <w:r>
        <w:t xml:space="preserve">Website: </w:t>
      </w:r>
      <w:hyperlink r:id="rId13">
        <w:r>
          <w:rPr>
            <w:color w:val="0000FF"/>
            <w:u w:val="single" w:color="0000FF"/>
          </w:rPr>
          <w:t>http://sas.nmsu.edu/</w:t>
        </w:r>
      </w:hyperlink>
    </w:p>
    <w:p w14:paraId="28F53AB5" w14:textId="77777777" w:rsidR="0099080C" w:rsidRDefault="0099080C">
      <w:pPr>
        <w:pStyle w:val="BodyText"/>
        <w:spacing w:before="1"/>
        <w:rPr>
          <w:sz w:val="12"/>
        </w:rPr>
      </w:pPr>
    </w:p>
    <w:p w14:paraId="62D9F3FD" w14:textId="187A4F9E" w:rsidR="0099080C" w:rsidRDefault="0058692F">
      <w:pPr>
        <w:pStyle w:val="BodyText"/>
        <w:spacing w:before="92"/>
        <w:ind w:left="160" w:right="429"/>
      </w:pPr>
      <w:r>
        <w:t xml:space="preserve">NMSU policy prohibits discrimination on the basis of age, ancestry, color, disability, gender identity, genetic information, national origin, race, religion, retaliation, serious medical condition, sex, sexual orientation, spousal affiliation and protected </w:t>
      </w:r>
      <w:r w:rsidR="00093FC3">
        <w:t>veterans’</w:t>
      </w:r>
      <w:r>
        <w:t xml:space="preserve"> status. Furthermore, Title IX prohibits sex discrimination to include sexual misconduct: sexual violence (sexual assault, rape), sexual harassment and retaliation.</w:t>
      </w:r>
    </w:p>
    <w:p w14:paraId="5E7220A0" w14:textId="77777777" w:rsidR="0099080C" w:rsidRDefault="0099080C">
      <w:pPr>
        <w:pStyle w:val="BodyText"/>
      </w:pPr>
    </w:p>
    <w:p w14:paraId="5B5A93A8" w14:textId="77777777" w:rsidR="0099080C" w:rsidRDefault="0058692F">
      <w:pPr>
        <w:pStyle w:val="BodyText"/>
        <w:ind w:left="160" w:right="280"/>
      </w:pPr>
      <w:r>
        <w:t xml:space="preserve">For more information on discrimination issues, Title IX, Campus </w:t>
      </w:r>
      <w:proofErr w:type="spellStart"/>
      <w:r>
        <w:t>SaVE</w:t>
      </w:r>
      <w:proofErr w:type="spellEnd"/>
      <w:r>
        <w:t xml:space="preserve"> Act, NMSU Policy Chapter 3.25, NMSU's complaint process, or to file a complaint contact:</w:t>
      </w:r>
    </w:p>
    <w:p w14:paraId="3CDF85B3" w14:textId="77777777" w:rsidR="0099080C" w:rsidRDefault="0099080C">
      <w:pPr>
        <w:pStyle w:val="BodyText"/>
      </w:pPr>
    </w:p>
    <w:p w14:paraId="6618EC8E" w14:textId="77777777" w:rsidR="0099080C" w:rsidRDefault="0058692F">
      <w:pPr>
        <w:pStyle w:val="BodyText"/>
        <w:spacing w:line="230" w:lineRule="exact"/>
        <w:ind w:left="880"/>
      </w:pPr>
      <w:r>
        <w:t xml:space="preserve">Lauri </w:t>
      </w:r>
      <w:proofErr w:type="spellStart"/>
      <w:r>
        <w:t>Millot</w:t>
      </w:r>
      <w:proofErr w:type="spellEnd"/>
      <w:r>
        <w:t>, Director and Title IX Coordinator</w:t>
      </w:r>
    </w:p>
    <w:p w14:paraId="6537FD31" w14:textId="77777777" w:rsidR="0099080C" w:rsidRDefault="0058692F">
      <w:pPr>
        <w:pStyle w:val="BodyText"/>
        <w:spacing w:line="230" w:lineRule="exact"/>
        <w:ind w:left="880"/>
      </w:pPr>
      <w:r>
        <w:t>Agustin Diaz, Associate Director, Title IX Deputy Coordinator</w:t>
      </w:r>
    </w:p>
    <w:p w14:paraId="2FF93970" w14:textId="77777777" w:rsidR="0099080C" w:rsidRDefault="0058692F">
      <w:pPr>
        <w:pStyle w:val="BodyText"/>
        <w:spacing w:before="1"/>
        <w:ind w:left="880" w:right="2188"/>
      </w:pPr>
      <w:r>
        <w:t xml:space="preserve">Office of Institutional Equity (OIE) - O'Loughlin House, 1130 University Avenue Phone: (575) 646-3635 E-mail: </w:t>
      </w:r>
      <w:hyperlink r:id="rId14">
        <w:r>
          <w:t>equity@nmsu.edu</w:t>
        </w:r>
      </w:hyperlink>
    </w:p>
    <w:p w14:paraId="071D421A" w14:textId="77777777" w:rsidR="0099080C" w:rsidRDefault="0058692F">
      <w:pPr>
        <w:pStyle w:val="BodyText"/>
        <w:spacing w:line="230" w:lineRule="exact"/>
        <w:ind w:left="880"/>
      </w:pPr>
      <w:r>
        <w:t xml:space="preserve">Website: </w:t>
      </w:r>
      <w:hyperlink r:id="rId15">
        <w:r>
          <w:rPr>
            <w:color w:val="0000FF"/>
            <w:u w:val="single" w:color="0000FF"/>
          </w:rPr>
          <w:t>http://eeo.nmsu.edu/</w:t>
        </w:r>
      </w:hyperlink>
    </w:p>
    <w:p w14:paraId="087D8CB5" w14:textId="77777777" w:rsidR="0099080C" w:rsidRDefault="0099080C">
      <w:pPr>
        <w:pStyle w:val="BodyText"/>
        <w:spacing w:before="8"/>
      </w:pPr>
    </w:p>
    <w:tbl>
      <w:tblPr>
        <w:tblW w:w="0" w:type="auto"/>
        <w:tblInd w:w="117" w:type="dxa"/>
        <w:tblLayout w:type="fixed"/>
        <w:tblCellMar>
          <w:left w:w="0" w:type="dxa"/>
          <w:right w:w="0" w:type="dxa"/>
        </w:tblCellMar>
        <w:tblLook w:val="01E0" w:firstRow="1" w:lastRow="1" w:firstColumn="1" w:lastColumn="1" w:noHBand="0" w:noVBand="0"/>
      </w:tblPr>
      <w:tblGrid>
        <w:gridCol w:w="3241"/>
        <w:gridCol w:w="3560"/>
      </w:tblGrid>
      <w:tr w:rsidR="0099080C" w14:paraId="322F7962" w14:textId="77777777">
        <w:trPr>
          <w:trHeight w:val="225"/>
        </w:trPr>
        <w:tc>
          <w:tcPr>
            <w:tcW w:w="3241" w:type="dxa"/>
          </w:tcPr>
          <w:p w14:paraId="538BA424" w14:textId="77777777" w:rsidR="0099080C" w:rsidRDefault="0058692F">
            <w:pPr>
              <w:pStyle w:val="TableParagraph"/>
              <w:spacing w:line="206" w:lineRule="exact"/>
              <w:ind w:left="50"/>
              <w:rPr>
                <w:sz w:val="20"/>
              </w:rPr>
            </w:pPr>
            <w:r>
              <w:rPr>
                <w:sz w:val="20"/>
                <w:u w:val="single"/>
              </w:rPr>
              <w:t>Other NMSU Resources:</w:t>
            </w:r>
          </w:p>
        </w:tc>
        <w:tc>
          <w:tcPr>
            <w:tcW w:w="3560" w:type="dxa"/>
          </w:tcPr>
          <w:p w14:paraId="2F24CF3F" w14:textId="77777777" w:rsidR="0099080C" w:rsidRDefault="0099080C">
            <w:pPr>
              <w:pStyle w:val="TableParagraph"/>
              <w:spacing w:line="240" w:lineRule="auto"/>
              <w:rPr>
                <w:sz w:val="16"/>
              </w:rPr>
            </w:pPr>
          </w:p>
        </w:tc>
      </w:tr>
      <w:tr w:rsidR="0099080C" w14:paraId="0457D47A" w14:textId="77777777">
        <w:trPr>
          <w:trHeight w:val="229"/>
        </w:trPr>
        <w:tc>
          <w:tcPr>
            <w:tcW w:w="3241" w:type="dxa"/>
          </w:tcPr>
          <w:p w14:paraId="625061BE" w14:textId="77777777" w:rsidR="0099080C" w:rsidRDefault="0058692F">
            <w:pPr>
              <w:pStyle w:val="TableParagraph"/>
              <w:ind w:left="50"/>
              <w:rPr>
                <w:sz w:val="20"/>
              </w:rPr>
            </w:pPr>
            <w:r>
              <w:rPr>
                <w:sz w:val="20"/>
              </w:rPr>
              <w:t>NMSU Police Department:</w:t>
            </w:r>
          </w:p>
        </w:tc>
        <w:tc>
          <w:tcPr>
            <w:tcW w:w="3560" w:type="dxa"/>
          </w:tcPr>
          <w:p w14:paraId="40C29841" w14:textId="77777777" w:rsidR="0099080C" w:rsidRDefault="0058692F">
            <w:pPr>
              <w:pStyle w:val="TableParagraph"/>
              <w:ind w:left="408"/>
              <w:rPr>
                <w:sz w:val="20"/>
              </w:rPr>
            </w:pPr>
            <w:r>
              <w:rPr>
                <w:sz w:val="20"/>
              </w:rPr>
              <w:t>(575) 646-3311</w:t>
            </w:r>
            <w:r>
              <w:rPr>
                <w:color w:val="0000FF"/>
                <w:sz w:val="20"/>
              </w:rPr>
              <w:t xml:space="preserve"> </w:t>
            </w:r>
            <w:hyperlink r:id="rId16">
              <w:r>
                <w:rPr>
                  <w:color w:val="0000FF"/>
                  <w:sz w:val="20"/>
                  <w:u w:val="single" w:color="0000FF"/>
                </w:rPr>
                <w:t>www.nmsupolice.com</w:t>
              </w:r>
            </w:hyperlink>
          </w:p>
        </w:tc>
      </w:tr>
      <w:tr w:rsidR="0099080C" w14:paraId="4F8BE673" w14:textId="77777777">
        <w:trPr>
          <w:trHeight w:val="230"/>
        </w:trPr>
        <w:tc>
          <w:tcPr>
            <w:tcW w:w="3241" w:type="dxa"/>
          </w:tcPr>
          <w:p w14:paraId="387EFE26" w14:textId="77777777" w:rsidR="0099080C" w:rsidRDefault="0058692F">
            <w:pPr>
              <w:pStyle w:val="TableParagraph"/>
              <w:ind w:left="50"/>
              <w:rPr>
                <w:sz w:val="20"/>
              </w:rPr>
            </w:pPr>
            <w:r>
              <w:rPr>
                <w:sz w:val="20"/>
              </w:rPr>
              <w:t>NMSU Police Victim Services:</w:t>
            </w:r>
          </w:p>
        </w:tc>
        <w:tc>
          <w:tcPr>
            <w:tcW w:w="3560" w:type="dxa"/>
          </w:tcPr>
          <w:p w14:paraId="7AE8C9A0" w14:textId="77777777" w:rsidR="0099080C" w:rsidRDefault="0058692F">
            <w:pPr>
              <w:pStyle w:val="TableParagraph"/>
              <w:ind w:left="408"/>
              <w:rPr>
                <w:sz w:val="20"/>
              </w:rPr>
            </w:pPr>
            <w:r>
              <w:rPr>
                <w:sz w:val="20"/>
              </w:rPr>
              <w:t>(575) 646-3424</w:t>
            </w:r>
          </w:p>
        </w:tc>
      </w:tr>
      <w:tr w:rsidR="0099080C" w14:paraId="4CED3ED0" w14:textId="77777777">
        <w:trPr>
          <w:trHeight w:val="229"/>
        </w:trPr>
        <w:tc>
          <w:tcPr>
            <w:tcW w:w="3241" w:type="dxa"/>
          </w:tcPr>
          <w:p w14:paraId="4514B633" w14:textId="77777777" w:rsidR="0099080C" w:rsidRDefault="0058692F">
            <w:pPr>
              <w:pStyle w:val="TableParagraph"/>
              <w:ind w:left="50"/>
              <w:rPr>
                <w:sz w:val="20"/>
              </w:rPr>
            </w:pPr>
            <w:r>
              <w:rPr>
                <w:sz w:val="20"/>
              </w:rPr>
              <w:t>NMSU Counseling Center:</w:t>
            </w:r>
          </w:p>
        </w:tc>
        <w:tc>
          <w:tcPr>
            <w:tcW w:w="3560" w:type="dxa"/>
          </w:tcPr>
          <w:p w14:paraId="469E95FF" w14:textId="77777777" w:rsidR="0099080C" w:rsidRDefault="0058692F">
            <w:pPr>
              <w:pStyle w:val="TableParagraph"/>
              <w:ind w:left="409"/>
              <w:rPr>
                <w:sz w:val="20"/>
              </w:rPr>
            </w:pPr>
            <w:r>
              <w:rPr>
                <w:sz w:val="20"/>
              </w:rPr>
              <w:t>(575) 646-2731</w:t>
            </w:r>
          </w:p>
        </w:tc>
      </w:tr>
      <w:tr w:rsidR="0099080C" w14:paraId="70144713" w14:textId="77777777">
        <w:trPr>
          <w:trHeight w:val="229"/>
        </w:trPr>
        <w:tc>
          <w:tcPr>
            <w:tcW w:w="3241" w:type="dxa"/>
          </w:tcPr>
          <w:p w14:paraId="448F8FF9" w14:textId="77777777" w:rsidR="0099080C" w:rsidRDefault="0058692F">
            <w:pPr>
              <w:pStyle w:val="TableParagraph"/>
              <w:ind w:left="50"/>
              <w:rPr>
                <w:sz w:val="20"/>
              </w:rPr>
            </w:pPr>
            <w:r>
              <w:rPr>
                <w:sz w:val="20"/>
              </w:rPr>
              <w:t>NMSU Dean of Students:</w:t>
            </w:r>
          </w:p>
        </w:tc>
        <w:tc>
          <w:tcPr>
            <w:tcW w:w="3560" w:type="dxa"/>
          </w:tcPr>
          <w:p w14:paraId="52931833" w14:textId="77777777" w:rsidR="0099080C" w:rsidRDefault="0058692F">
            <w:pPr>
              <w:pStyle w:val="TableParagraph"/>
              <w:ind w:left="409"/>
              <w:rPr>
                <w:sz w:val="20"/>
              </w:rPr>
            </w:pPr>
            <w:r>
              <w:rPr>
                <w:sz w:val="20"/>
              </w:rPr>
              <w:t>(575) 646-1722</w:t>
            </w:r>
          </w:p>
        </w:tc>
      </w:tr>
      <w:tr w:rsidR="0099080C" w14:paraId="68027886" w14:textId="77777777">
        <w:trPr>
          <w:trHeight w:val="226"/>
        </w:trPr>
        <w:tc>
          <w:tcPr>
            <w:tcW w:w="3241" w:type="dxa"/>
          </w:tcPr>
          <w:p w14:paraId="54F788FB" w14:textId="77777777" w:rsidR="0099080C" w:rsidRDefault="0058692F">
            <w:pPr>
              <w:pStyle w:val="TableParagraph"/>
              <w:spacing w:line="206" w:lineRule="exact"/>
              <w:ind w:left="51"/>
              <w:rPr>
                <w:sz w:val="20"/>
              </w:rPr>
            </w:pPr>
            <w:r>
              <w:rPr>
                <w:sz w:val="20"/>
              </w:rPr>
              <w:t>For Any On-campus Emergencies:</w:t>
            </w:r>
          </w:p>
        </w:tc>
        <w:tc>
          <w:tcPr>
            <w:tcW w:w="3560" w:type="dxa"/>
          </w:tcPr>
          <w:p w14:paraId="374EE05F" w14:textId="77777777" w:rsidR="0099080C" w:rsidRDefault="0058692F">
            <w:pPr>
              <w:pStyle w:val="TableParagraph"/>
              <w:spacing w:line="206" w:lineRule="exact"/>
              <w:ind w:left="409"/>
              <w:rPr>
                <w:sz w:val="20"/>
              </w:rPr>
            </w:pPr>
            <w:r>
              <w:rPr>
                <w:sz w:val="20"/>
              </w:rPr>
              <w:t>911</w:t>
            </w:r>
          </w:p>
        </w:tc>
      </w:tr>
    </w:tbl>
    <w:p w14:paraId="41D6889E" w14:textId="77777777" w:rsidR="0099080C" w:rsidRDefault="0099080C">
      <w:pPr>
        <w:pStyle w:val="BodyText"/>
        <w:spacing w:before="2"/>
      </w:pPr>
    </w:p>
    <w:p w14:paraId="5E43EA5E" w14:textId="77777777" w:rsidR="0099080C" w:rsidRDefault="0058692F" w:rsidP="00D358F7">
      <w:pPr>
        <w:ind w:left="160"/>
        <w:jc w:val="center"/>
        <w:rPr>
          <w:b/>
          <w:sz w:val="20"/>
        </w:rPr>
      </w:pPr>
      <w:r>
        <w:rPr>
          <w:b/>
          <w:sz w:val="20"/>
        </w:rPr>
        <w:t>The Instructor of Record reserved the right to make announced changed in the syllabus; as feasible, changes will be made with student input.</w:t>
      </w:r>
    </w:p>
    <w:sectPr w:rsidR="0099080C">
      <w:pgSz w:w="12240" w:h="15840"/>
      <w:pgMar w:top="1360" w:right="1320" w:bottom="1260" w:left="128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15A07" w14:textId="77777777" w:rsidR="00506065" w:rsidRDefault="00506065">
      <w:r>
        <w:separator/>
      </w:r>
    </w:p>
  </w:endnote>
  <w:endnote w:type="continuationSeparator" w:id="0">
    <w:p w14:paraId="547AB872" w14:textId="77777777" w:rsidR="00506065" w:rsidRDefault="0050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7180" w14:textId="76991A51" w:rsidR="0099080C" w:rsidRDefault="0034316A">
    <w:pPr>
      <w:pStyle w:val="BodyText"/>
      <w:spacing w:line="14" w:lineRule="auto"/>
    </w:pPr>
    <w:r>
      <w:rPr>
        <w:noProof/>
      </w:rPr>
      <mc:AlternateContent>
        <mc:Choice Requires="wps">
          <w:drawing>
            <wp:anchor distT="0" distB="0" distL="114300" distR="114300" simplePos="0" relativeHeight="251657728" behindDoc="1" locked="0" layoutInCell="1" allowOverlap="1" wp14:anchorId="01B430C0" wp14:editId="0FB6E5C3">
              <wp:simplePos x="0" y="0"/>
              <wp:positionH relativeFrom="page">
                <wp:posOffset>6667500</wp:posOffset>
              </wp:positionH>
              <wp:positionV relativeFrom="page">
                <wp:posOffset>9243060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EDF1B" w14:textId="4D69D043" w:rsidR="0099080C" w:rsidRDefault="0058692F">
                          <w:pPr>
                            <w:spacing w:before="10"/>
                            <w:ind w:left="60"/>
                            <w:rPr>
                              <w:sz w:val="24"/>
                            </w:rPr>
                          </w:pPr>
                          <w:r>
                            <w:fldChar w:fldCharType="begin"/>
                          </w:r>
                          <w:r>
                            <w:rPr>
                              <w:sz w:val="24"/>
                            </w:rPr>
                            <w:instrText xml:space="preserve"> PAGE </w:instrText>
                          </w:r>
                          <w:r>
                            <w:fldChar w:fldCharType="separate"/>
                          </w:r>
                          <w:r w:rsidR="00D358F7">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430C0" id="_x0000_t202" coordsize="21600,21600" o:spt="202" path="m,l,21600r21600,l21600,xe">
              <v:stroke joinstyle="miter"/>
              <v:path gradientshapeok="t" o:connecttype="rect"/>
            </v:shapetype>
            <v:shape id="Text Box 1" o:spid="_x0000_s1026" type="#_x0000_t202" style="position:absolute;margin-left:525pt;margin-top:72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" filled="f" stroked="f">
              <v:textbox inset="0,0,0,0">
                <w:txbxContent>
                  <w:p w14:paraId="78BEDF1B" w14:textId="4D69D043" w:rsidR="0099080C" w:rsidRDefault="0058692F">
                    <w:pPr>
                      <w:spacing w:before="10"/>
                      <w:ind w:left="60"/>
                      <w:rPr>
                        <w:sz w:val="24"/>
                      </w:rPr>
                    </w:pPr>
                    <w:r>
                      <w:fldChar w:fldCharType="begin"/>
                    </w:r>
                    <w:r>
                      <w:rPr>
                        <w:sz w:val="24"/>
                      </w:rPr>
                      <w:instrText xml:space="preserve"> PAGE </w:instrText>
                    </w:r>
                    <w:r>
                      <w:fldChar w:fldCharType="separate"/>
                    </w:r>
                    <w:r w:rsidR="00D358F7">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F98DA" w14:textId="77777777" w:rsidR="00506065" w:rsidRDefault="00506065">
      <w:r>
        <w:separator/>
      </w:r>
    </w:p>
  </w:footnote>
  <w:footnote w:type="continuationSeparator" w:id="0">
    <w:p w14:paraId="25837ACC" w14:textId="77777777" w:rsidR="00506065" w:rsidRDefault="0050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57BC8"/>
    <w:multiLevelType w:val="hybridMultilevel"/>
    <w:tmpl w:val="EA2AED16"/>
    <w:lvl w:ilvl="0" w:tplc="251C2EB8">
      <w:start w:val="1"/>
      <w:numFmt w:val="decimal"/>
      <w:lvlText w:val="%1."/>
      <w:lvlJc w:val="left"/>
      <w:pPr>
        <w:ind w:left="880" w:hanging="361"/>
        <w:jc w:val="left"/>
      </w:pPr>
      <w:rPr>
        <w:rFonts w:ascii="Times New Roman" w:eastAsia="Times New Roman" w:hAnsi="Times New Roman" w:cs="Times New Roman" w:hint="default"/>
        <w:w w:val="100"/>
        <w:sz w:val="20"/>
        <w:szCs w:val="20"/>
      </w:rPr>
    </w:lvl>
    <w:lvl w:ilvl="1" w:tplc="92B6F604">
      <w:start w:val="1"/>
      <w:numFmt w:val="lowerLetter"/>
      <w:lvlText w:val="%2."/>
      <w:lvlJc w:val="left"/>
      <w:pPr>
        <w:ind w:left="1600" w:hanging="361"/>
        <w:jc w:val="left"/>
      </w:pPr>
      <w:rPr>
        <w:rFonts w:ascii="Times New Roman" w:eastAsia="Times New Roman" w:hAnsi="Times New Roman" w:cs="Times New Roman" w:hint="default"/>
        <w:spacing w:val="-1"/>
        <w:w w:val="100"/>
        <w:sz w:val="20"/>
        <w:szCs w:val="20"/>
      </w:rPr>
    </w:lvl>
    <w:lvl w:ilvl="2" w:tplc="9D265932">
      <w:numFmt w:val="bullet"/>
      <w:lvlText w:val="•"/>
      <w:lvlJc w:val="left"/>
      <w:pPr>
        <w:ind w:left="2493" w:hanging="361"/>
      </w:pPr>
      <w:rPr>
        <w:rFonts w:hint="default"/>
      </w:rPr>
    </w:lvl>
    <w:lvl w:ilvl="3" w:tplc="57E08B5C">
      <w:numFmt w:val="bullet"/>
      <w:lvlText w:val="•"/>
      <w:lvlJc w:val="left"/>
      <w:pPr>
        <w:ind w:left="3386" w:hanging="361"/>
      </w:pPr>
      <w:rPr>
        <w:rFonts w:hint="default"/>
      </w:rPr>
    </w:lvl>
    <w:lvl w:ilvl="4" w:tplc="E654EBEC">
      <w:numFmt w:val="bullet"/>
      <w:lvlText w:val="•"/>
      <w:lvlJc w:val="left"/>
      <w:pPr>
        <w:ind w:left="4280" w:hanging="361"/>
      </w:pPr>
      <w:rPr>
        <w:rFonts w:hint="default"/>
      </w:rPr>
    </w:lvl>
    <w:lvl w:ilvl="5" w:tplc="5FB88F36">
      <w:numFmt w:val="bullet"/>
      <w:lvlText w:val="•"/>
      <w:lvlJc w:val="left"/>
      <w:pPr>
        <w:ind w:left="5173" w:hanging="361"/>
      </w:pPr>
      <w:rPr>
        <w:rFonts w:hint="default"/>
      </w:rPr>
    </w:lvl>
    <w:lvl w:ilvl="6" w:tplc="8602692C">
      <w:numFmt w:val="bullet"/>
      <w:lvlText w:val="•"/>
      <w:lvlJc w:val="left"/>
      <w:pPr>
        <w:ind w:left="6066" w:hanging="361"/>
      </w:pPr>
      <w:rPr>
        <w:rFonts w:hint="default"/>
      </w:rPr>
    </w:lvl>
    <w:lvl w:ilvl="7" w:tplc="227C6B98">
      <w:numFmt w:val="bullet"/>
      <w:lvlText w:val="•"/>
      <w:lvlJc w:val="left"/>
      <w:pPr>
        <w:ind w:left="6960" w:hanging="361"/>
      </w:pPr>
      <w:rPr>
        <w:rFonts w:hint="default"/>
      </w:rPr>
    </w:lvl>
    <w:lvl w:ilvl="8" w:tplc="3F3EB712">
      <w:numFmt w:val="bullet"/>
      <w:lvlText w:val="•"/>
      <w:lvlJc w:val="left"/>
      <w:pPr>
        <w:ind w:left="7853" w:hanging="361"/>
      </w:pPr>
      <w:rPr>
        <w:rFonts w:hint="default"/>
      </w:rPr>
    </w:lvl>
  </w:abstractNum>
  <w:abstractNum w:abstractNumId="1" w15:restartNumberingAfterBreak="0">
    <w:nsid w:val="50CF6E1B"/>
    <w:multiLevelType w:val="hybridMultilevel"/>
    <w:tmpl w:val="7D886FDC"/>
    <w:lvl w:ilvl="0" w:tplc="AE9ACAF0">
      <w:start w:val="1"/>
      <w:numFmt w:val="decimal"/>
      <w:lvlText w:val="%1."/>
      <w:lvlJc w:val="left"/>
      <w:pPr>
        <w:ind w:left="880" w:hanging="361"/>
        <w:jc w:val="left"/>
      </w:pPr>
      <w:rPr>
        <w:rFonts w:ascii="Times New Roman" w:eastAsia="Times New Roman" w:hAnsi="Times New Roman" w:cs="Times New Roman" w:hint="default"/>
        <w:w w:val="100"/>
        <w:sz w:val="20"/>
        <w:szCs w:val="20"/>
      </w:rPr>
    </w:lvl>
    <w:lvl w:ilvl="1" w:tplc="E36648FA">
      <w:numFmt w:val="bullet"/>
      <w:lvlText w:val="•"/>
      <w:lvlJc w:val="left"/>
      <w:pPr>
        <w:ind w:left="1756" w:hanging="361"/>
      </w:pPr>
      <w:rPr>
        <w:rFonts w:hint="default"/>
      </w:rPr>
    </w:lvl>
    <w:lvl w:ilvl="2" w:tplc="262CE97C">
      <w:numFmt w:val="bullet"/>
      <w:lvlText w:val="•"/>
      <w:lvlJc w:val="left"/>
      <w:pPr>
        <w:ind w:left="2632" w:hanging="361"/>
      </w:pPr>
      <w:rPr>
        <w:rFonts w:hint="default"/>
      </w:rPr>
    </w:lvl>
    <w:lvl w:ilvl="3" w:tplc="E4C85D2A">
      <w:numFmt w:val="bullet"/>
      <w:lvlText w:val="•"/>
      <w:lvlJc w:val="left"/>
      <w:pPr>
        <w:ind w:left="3508" w:hanging="361"/>
      </w:pPr>
      <w:rPr>
        <w:rFonts w:hint="default"/>
      </w:rPr>
    </w:lvl>
    <w:lvl w:ilvl="4" w:tplc="92E01F44">
      <w:numFmt w:val="bullet"/>
      <w:lvlText w:val="•"/>
      <w:lvlJc w:val="left"/>
      <w:pPr>
        <w:ind w:left="4384" w:hanging="361"/>
      </w:pPr>
      <w:rPr>
        <w:rFonts w:hint="default"/>
      </w:rPr>
    </w:lvl>
    <w:lvl w:ilvl="5" w:tplc="F0B62B5C">
      <w:numFmt w:val="bullet"/>
      <w:lvlText w:val="•"/>
      <w:lvlJc w:val="left"/>
      <w:pPr>
        <w:ind w:left="5260" w:hanging="361"/>
      </w:pPr>
      <w:rPr>
        <w:rFonts w:hint="default"/>
      </w:rPr>
    </w:lvl>
    <w:lvl w:ilvl="6" w:tplc="F462D348">
      <w:numFmt w:val="bullet"/>
      <w:lvlText w:val="•"/>
      <w:lvlJc w:val="left"/>
      <w:pPr>
        <w:ind w:left="6136" w:hanging="361"/>
      </w:pPr>
      <w:rPr>
        <w:rFonts w:hint="default"/>
      </w:rPr>
    </w:lvl>
    <w:lvl w:ilvl="7" w:tplc="089EFB64">
      <w:numFmt w:val="bullet"/>
      <w:lvlText w:val="•"/>
      <w:lvlJc w:val="left"/>
      <w:pPr>
        <w:ind w:left="7012" w:hanging="361"/>
      </w:pPr>
      <w:rPr>
        <w:rFonts w:hint="default"/>
      </w:rPr>
    </w:lvl>
    <w:lvl w:ilvl="8" w:tplc="E272D760">
      <w:numFmt w:val="bullet"/>
      <w:lvlText w:val="•"/>
      <w:lvlJc w:val="left"/>
      <w:pPr>
        <w:ind w:left="788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0C"/>
    <w:rsid w:val="00005484"/>
    <w:rsid w:val="0005701D"/>
    <w:rsid w:val="00076D44"/>
    <w:rsid w:val="00093FC3"/>
    <w:rsid w:val="000D2A18"/>
    <w:rsid w:val="000F4DBD"/>
    <w:rsid w:val="00126591"/>
    <w:rsid w:val="002547BD"/>
    <w:rsid w:val="002601D0"/>
    <w:rsid w:val="0034316A"/>
    <w:rsid w:val="00352341"/>
    <w:rsid w:val="003B1673"/>
    <w:rsid w:val="003B5432"/>
    <w:rsid w:val="003B610F"/>
    <w:rsid w:val="003C3B1F"/>
    <w:rsid w:val="00410438"/>
    <w:rsid w:val="00460A57"/>
    <w:rsid w:val="004C0D7E"/>
    <w:rsid w:val="004F41B0"/>
    <w:rsid w:val="00506065"/>
    <w:rsid w:val="00515029"/>
    <w:rsid w:val="00552A7A"/>
    <w:rsid w:val="00571A14"/>
    <w:rsid w:val="0058692F"/>
    <w:rsid w:val="005E3EC9"/>
    <w:rsid w:val="005F2BBE"/>
    <w:rsid w:val="00620209"/>
    <w:rsid w:val="006A190F"/>
    <w:rsid w:val="00783234"/>
    <w:rsid w:val="007C19C7"/>
    <w:rsid w:val="008512A6"/>
    <w:rsid w:val="0086009C"/>
    <w:rsid w:val="00870A74"/>
    <w:rsid w:val="008B12A7"/>
    <w:rsid w:val="008B1C14"/>
    <w:rsid w:val="009038AF"/>
    <w:rsid w:val="009803DF"/>
    <w:rsid w:val="0099080C"/>
    <w:rsid w:val="009A2650"/>
    <w:rsid w:val="00A036AF"/>
    <w:rsid w:val="00A37B45"/>
    <w:rsid w:val="00A41736"/>
    <w:rsid w:val="00A61B2C"/>
    <w:rsid w:val="00A77ABB"/>
    <w:rsid w:val="00A91B25"/>
    <w:rsid w:val="00AB4F74"/>
    <w:rsid w:val="00AC0EFA"/>
    <w:rsid w:val="00AD559E"/>
    <w:rsid w:val="00B32EAE"/>
    <w:rsid w:val="00C67DCC"/>
    <w:rsid w:val="00D23183"/>
    <w:rsid w:val="00D358F7"/>
    <w:rsid w:val="00D40EE8"/>
    <w:rsid w:val="00E31E0B"/>
    <w:rsid w:val="00ED766A"/>
    <w:rsid w:val="00EE4E7D"/>
    <w:rsid w:val="00EF403B"/>
    <w:rsid w:val="00F055B2"/>
    <w:rsid w:val="00F3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676AA"/>
  <w15:docId w15:val="{407119E3-1E40-48D7-9DA5-5076F247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
      <w:ind w:left="60"/>
    </w:pPr>
    <w:rPr>
      <w:sz w:val="24"/>
      <w:szCs w:val="24"/>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line="210" w:lineRule="exact"/>
    </w:pPr>
  </w:style>
  <w:style w:type="paragraph" w:styleId="NormalWeb">
    <w:name w:val="Normal (Web)"/>
    <w:basedOn w:val="Normal"/>
    <w:uiPriority w:val="99"/>
    <w:semiHidden/>
    <w:unhideWhenUsed/>
    <w:rsid w:val="00AD559E"/>
    <w:rPr>
      <w:sz w:val="24"/>
      <w:szCs w:val="24"/>
    </w:rPr>
  </w:style>
  <w:style w:type="character" w:styleId="Hyperlink">
    <w:name w:val="Hyperlink"/>
    <w:basedOn w:val="DefaultParagraphFont"/>
    <w:uiPriority w:val="99"/>
    <w:unhideWhenUsed/>
    <w:rsid w:val="00352341"/>
    <w:rPr>
      <w:color w:val="0000FF" w:themeColor="hyperlink"/>
      <w:u w:val="single"/>
    </w:rPr>
  </w:style>
  <w:style w:type="character" w:customStyle="1" w:styleId="UnresolvedMention1">
    <w:name w:val="Unresolved Mention1"/>
    <w:basedOn w:val="DefaultParagraphFont"/>
    <w:uiPriority w:val="99"/>
    <w:semiHidden/>
    <w:unhideWhenUsed/>
    <w:rsid w:val="00352341"/>
    <w:rPr>
      <w:color w:val="605E5C"/>
      <w:shd w:val="clear" w:color="auto" w:fill="E1DFDD"/>
    </w:rPr>
  </w:style>
  <w:style w:type="character" w:customStyle="1" w:styleId="BodyTextChar">
    <w:name w:val="Body Text Char"/>
    <w:basedOn w:val="DefaultParagraphFont"/>
    <w:link w:val="BodyText"/>
    <w:uiPriority w:val="1"/>
    <w:rsid w:val="00D358F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4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467-020-15930-5" TargetMode="External"/><Relationship Id="rId13" Type="http://schemas.openxmlformats.org/officeDocument/2006/relationships/hyperlink" Target="http://sas.nm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msu.adobeconnect.com/psypharm" TargetMode="External"/><Relationship Id="rId12" Type="http://schemas.openxmlformats.org/officeDocument/2006/relationships/hyperlink" Target="mailto:sas@nm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msupol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eo.nmsu.edu/" TargetMode="External"/><Relationship Id="rId10" Type="http://schemas.openxmlformats.org/officeDocument/2006/relationships/hyperlink" Target="https://doi.org/10.1001/jamapsychiatry.2018.3546" TargetMode="External"/><Relationship Id="rId4" Type="http://schemas.openxmlformats.org/officeDocument/2006/relationships/webSettings" Target="webSettings.xml"/><Relationship Id="rId9" Type="http://schemas.openxmlformats.org/officeDocument/2006/relationships/hyperlink" Target="https://doi.org/10.1176/appi.ajp.2018.18040461" TargetMode="External"/><Relationship Id="rId14" Type="http://schemas.openxmlformats.org/officeDocument/2006/relationships/hyperlink" Target="mailto:equity@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dc:creator>
  <cp:lastModifiedBy>Elaine S LeVine</cp:lastModifiedBy>
  <cp:revision>3</cp:revision>
  <dcterms:created xsi:type="dcterms:W3CDTF">2020-10-15T17:48:00Z</dcterms:created>
  <dcterms:modified xsi:type="dcterms:W3CDTF">2020-10-15T17:49:00Z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PDFium</vt:lpwstr>
  </property>
  <property fmtid="{D5CDD505-2E9C-101B-9397-08002B2CF9AE}" pid="4" name="LastSaved">
    <vt:filetime>2018-10-10T00:00:00Z</vt:filetime>
  </property>
</Properties>
</file>