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2E876" w14:textId="4BFBE44F" w:rsidR="00306C9F" w:rsidRDefault="00306C9F" w:rsidP="00306C9F">
      <w:pPr>
        <w:pStyle w:val="Heading1"/>
        <w:spacing w:before="91"/>
        <w:ind w:left="0"/>
        <w:rPr>
          <w:sz w:val="22"/>
          <w:szCs w:val="22"/>
        </w:rPr>
      </w:pPr>
      <w:r>
        <w:rPr>
          <w:sz w:val="22"/>
          <w:szCs w:val="22"/>
        </w:rPr>
        <w:t xml:space="preserve">                                            </w:t>
      </w:r>
      <w:r w:rsidR="0017755A" w:rsidRPr="00306C9F">
        <w:rPr>
          <w:sz w:val="22"/>
          <w:szCs w:val="22"/>
        </w:rPr>
        <w:t>NEW MEXICO STATE UNIVERSITY</w:t>
      </w:r>
    </w:p>
    <w:p w14:paraId="31BAC881" w14:textId="7C77AD5E" w:rsidR="00BE722B" w:rsidRPr="00306C9F" w:rsidRDefault="0017755A" w:rsidP="00306C9F">
      <w:pPr>
        <w:pStyle w:val="Heading1"/>
        <w:spacing w:before="91"/>
        <w:rPr>
          <w:sz w:val="22"/>
          <w:szCs w:val="22"/>
        </w:rPr>
      </w:pPr>
      <w:r w:rsidRPr="00306C9F">
        <w:rPr>
          <w:sz w:val="22"/>
          <w:szCs w:val="22"/>
        </w:rPr>
        <w:t>Post-Doctoral Training in Clinical Psychopharmacology</w:t>
      </w:r>
    </w:p>
    <w:p w14:paraId="65AAC4A5" w14:textId="77777777" w:rsidR="00BE722B" w:rsidRPr="00306C9F" w:rsidRDefault="00BE722B">
      <w:pPr>
        <w:pStyle w:val="BodyText"/>
        <w:spacing w:before="1"/>
        <w:rPr>
          <w:b/>
          <w:sz w:val="22"/>
          <w:szCs w:val="22"/>
        </w:rPr>
      </w:pPr>
    </w:p>
    <w:p w14:paraId="6346C83A" w14:textId="31D77317" w:rsidR="00BE722B" w:rsidRPr="00306C9F" w:rsidRDefault="00306C9F">
      <w:pPr>
        <w:pStyle w:val="Heading1"/>
        <w:ind w:left="2423"/>
        <w:rPr>
          <w:sz w:val="22"/>
          <w:szCs w:val="22"/>
        </w:rPr>
      </w:pPr>
      <w:r>
        <w:rPr>
          <w:sz w:val="22"/>
          <w:szCs w:val="22"/>
        </w:rPr>
        <w:t xml:space="preserve">TRAINING and </w:t>
      </w:r>
      <w:r w:rsidR="0017755A" w:rsidRPr="00306C9F">
        <w:rPr>
          <w:sz w:val="22"/>
          <w:szCs w:val="22"/>
        </w:rPr>
        <w:t>COURSE OUTLINE</w:t>
      </w:r>
    </w:p>
    <w:p w14:paraId="2D7C548E" w14:textId="77777777" w:rsidR="00BE722B" w:rsidRPr="00306C9F" w:rsidRDefault="0017755A">
      <w:pPr>
        <w:spacing w:before="1"/>
        <w:ind w:left="2424" w:right="2384"/>
        <w:jc w:val="center"/>
        <w:rPr>
          <w:b/>
        </w:rPr>
      </w:pPr>
      <w:r w:rsidRPr="00306C9F">
        <w:rPr>
          <w:b/>
          <w:u w:val="single"/>
        </w:rPr>
        <w:t>Class #19</w:t>
      </w:r>
    </w:p>
    <w:p w14:paraId="15C48C41" w14:textId="77777777" w:rsidR="00BE722B" w:rsidRPr="00306C9F" w:rsidRDefault="00BE722B">
      <w:pPr>
        <w:pStyle w:val="BodyText"/>
        <w:spacing w:before="11"/>
        <w:rPr>
          <w:b/>
          <w:sz w:val="22"/>
          <w:szCs w:val="22"/>
        </w:rPr>
      </w:pPr>
    </w:p>
    <w:p w14:paraId="304543B9" w14:textId="77777777" w:rsidR="00BE722B" w:rsidRPr="00306C9F" w:rsidRDefault="0017755A">
      <w:pPr>
        <w:tabs>
          <w:tab w:val="left" w:pos="3040"/>
        </w:tabs>
        <w:spacing w:before="91"/>
        <w:ind w:left="160"/>
      </w:pPr>
      <w:r w:rsidRPr="00306C9F">
        <w:rPr>
          <w:b/>
        </w:rPr>
        <w:t>Course</w:t>
      </w:r>
      <w:r w:rsidRPr="00306C9F">
        <w:rPr>
          <w:b/>
          <w:spacing w:val="-1"/>
        </w:rPr>
        <w:t xml:space="preserve"> </w:t>
      </w:r>
      <w:r w:rsidRPr="00306C9F">
        <w:rPr>
          <w:b/>
        </w:rPr>
        <w:t>#:</w:t>
      </w:r>
      <w:r w:rsidRPr="00306C9F">
        <w:rPr>
          <w:b/>
        </w:rPr>
        <w:tab/>
      </w:r>
      <w:r w:rsidRPr="00306C9F">
        <w:t>RXPP</w:t>
      </w:r>
      <w:r w:rsidRPr="00306C9F">
        <w:rPr>
          <w:spacing w:val="-1"/>
        </w:rPr>
        <w:t xml:space="preserve"> </w:t>
      </w:r>
      <w:r w:rsidRPr="00306C9F">
        <w:t>609</w:t>
      </w:r>
    </w:p>
    <w:p w14:paraId="6C43ED31" w14:textId="77777777" w:rsidR="00BE722B" w:rsidRPr="00306C9F" w:rsidRDefault="00BE722B">
      <w:pPr>
        <w:pStyle w:val="BodyText"/>
        <w:rPr>
          <w:sz w:val="22"/>
          <w:szCs w:val="22"/>
        </w:rPr>
      </w:pPr>
    </w:p>
    <w:p w14:paraId="04EF5A9A" w14:textId="77777777" w:rsidR="00BE722B" w:rsidRPr="00306C9F" w:rsidRDefault="0017755A">
      <w:pPr>
        <w:pStyle w:val="BodyText"/>
        <w:tabs>
          <w:tab w:val="left" w:pos="3040"/>
        </w:tabs>
        <w:ind w:left="160"/>
        <w:rPr>
          <w:sz w:val="22"/>
          <w:szCs w:val="22"/>
        </w:rPr>
      </w:pPr>
      <w:r w:rsidRPr="00306C9F">
        <w:rPr>
          <w:b/>
          <w:sz w:val="22"/>
          <w:szCs w:val="22"/>
        </w:rPr>
        <w:t>Official</w:t>
      </w:r>
      <w:r w:rsidRPr="00306C9F">
        <w:rPr>
          <w:b/>
          <w:spacing w:val="-2"/>
          <w:sz w:val="22"/>
          <w:szCs w:val="22"/>
        </w:rPr>
        <w:t xml:space="preserve"> </w:t>
      </w:r>
      <w:r w:rsidRPr="00306C9F">
        <w:rPr>
          <w:b/>
          <w:sz w:val="22"/>
          <w:szCs w:val="22"/>
        </w:rPr>
        <w:t>Title</w:t>
      </w:r>
      <w:r w:rsidRPr="00306C9F">
        <w:rPr>
          <w:sz w:val="22"/>
          <w:szCs w:val="22"/>
        </w:rPr>
        <w:t>:</w:t>
      </w:r>
      <w:r w:rsidRPr="00306C9F">
        <w:rPr>
          <w:sz w:val="22"/>
          <w:szCs w:val="22"/>
        </w:rPr>
        <w:tab/>
        <w:t>Psychopharmacological Treatment in Special Populations</w:t>
      </w:r>
      <w:r w:rsidRPr="00306C9F">
        <w:rPr>
          <w:spacing w:val="-3"/>
          <w:sz w:val="22"/>
          <w:szCs w:val="22"/>
        </w:rPr>
        <w:t xml:space="preserve"> </w:t>
      </w:r>
      <w:r w:rsidRPr="00306C9F">
        <w:rPr>
          <w:sz w:val="22"/>
          <w:szCs w:val="22"/>
        </w:rPr>
        <w:t>I</w:t>
      </w:r>
    </w:p>
    <w:p w14:paraId="6D738BB3" w14:textId="77777777" w:rsidR="00BE722B" w:rsidRPr="00306C9F" w:rsidRDefault="00BE722B">
      <w:pPr>
        <w:pStyle w:val="BodyText"/>
        <w:spacing w:before="1"/>
        <w:rPr>
          <w:sz w:val="22"/>
          <w:szCs w:val="22"/>
        </w:rPr>
      </w:pPr>
    </w:p>
    <w:p w14:paraId="04C3565B" w14:textId="77777777" w:rsidR="00BE722B" w:rsidRPr="00306C9F" w:rsidRDefault="0017755A">
      <w:pPr>
        <w:pStyle w:val="BodyText"/>
        <w:tabs>
          <w:tab w:val="left" w:pos="3040"/>
        </w:tabs>
        <w:ind w:left="160"/>
        <w:rPr>
          <w:sz w:val="22"/>
          <w:szCs w:val="22"/>
        </w:rPr>
      </w:pPr>
      <w:r w:rsidRPr="00306C9F">
        <w:rPr>
          <w:b/>
          <w:sz w:val="22"/>
          <w:szCs w:val="22"/>
        </w:rPr>
        <w:t>Topic:</w:t>
      </w:r>
      <w:r w:rsidRPr="00306C9F">
        <w:rPr>
          <w:b/>
          <w:sz w:val="22"/>
          <w:szCs w:val="22"/>
        </w:rPr>
        <w:tab/>
      </w:r>
      <w:r w:rsidRPr="00306C9F">
        <w:rPr>
          <w:sz w:val="22"/>
          <w:szCs w:val="22"/>
        </w:rPr>
        <w:t>The Psychopharmacologic Considerations &amp; Treatment of Older</w:t>
      </w:r>
      <w:r w:rsidRPr="00306C9F">
        <w:rPr>
          <w:spacing w:val="-8"/>
          <w:sz w:val="22"/>
          <w:szCs w:val="22"/>
        </w:rPr>
        <w:t xml:space="preserve"> </w:t>
      </w:r>
      <w:r w:rsidRPr="00306C9F">
        <w:rPr>
          <w:sz w:val="22"/>
          <w:szCs w:val="22"/>
        </w:rPr>
        <w:t>Adults</w:t>
      </w:r>
    </w:p>
    <w:p w14:paraId="54D48C24" w14:textId="77777777" w:rsidR="00BE722B" w:rsidRPr="00306C9F" w:rsidRDefault="00BE722B">
      <w:pPr>
        <w:pStyle w:val="BodyText"/>
        <w:spacing w:before="10"/>
        <w:rPr>
          <w:sz w:val="22"/>
          <w:szCs w:val="22"/>
        </w:rPr>
      </w:pPr>
    </w:p>
    <w:p w14:paraId="79112BEC" w14:textId="3572BE55" w:rsidR="00BE722B" w:rsidRPr="00306C9F" w:rsidRDefault="0017755A">
      <w:pPr>
        <w:tabs>
          <w:tab w:val="left" w:pos="3040"/>
        </w:tabs>
        <w:ind w:left="160"/>
      </w:pPr>
      <w:r w:rsidRPr="00306C9F">
        <w:rPr>
          <w:b/>
        </w:rPr>
        <w:t>Credit</w:t>
      </w:r>
      <w:r w:rsidRPr="00306C9F">
        <w:rPr>
          <w:b/>
          <w:spacing w:val="-2"/>
        </w:rPr>
        <w:t xml:space="preserve"> </w:t>
      </w:r>
      <w:r w:rsidRPr="00306C9F">
        <w:rPr>
          <w:b/>
        </w:rPr>
        <w:t>Hours</w:t>
      </w:r>
      <w:r w:rsidRPr="00306C9F">
        <w:t>:</w:t>
      </w:r>
      <w:r w:rsidRPr="00306C9F">
        <w:tab/>
        <w:t>3.0</w:t>
      </w:r>
      <w:r w:rsidR="00DD404A" w:rsidRPr="00306C9F">
        <w:t xml:space="preserve"> Credit Hours</w:t>
      </w:r>
    </w:p>
    <w:p w14:paraId="0DFCA244" w14:textId="2FE9C6F2" w:rsidR="00DD404A" w:rsidRPr="00306C9F" w:rsidRDefault="00DD404A">
      <w:pPr>
        <w:tabs>
          <w:tab w:val="left" w:pos="3040"/>
        </w:tabs>
        <w:ind w:left="160"/>
      </w:pPr>
    </w:p>
    <w:p w14:paraId="36820D41" w14:textId="7EBC1562" w:rsidR="00DD404A" w:rsidRPr="00306C9F" w:rsidRDefault="00DD404A">
      <w:pPr>
        <w:tabs>
          <w:tab w:val="left" w:pos="3040"/>
        </w:tabs>
        <w:ind w:left="160"/>
      </w:pPr>
      <w:r w:rsidRPr="00306C9F">
        <w:rPr>
          <w:b/>
          <w:bCs/>
        </w:rPr>
        <w:t>Continuing Education:</w:t>
      </w:r>
      <w:r w:rsidRPr="00306C9F">
        <w:t xml:space="preserve"> </w:t>
      </w:r>
      <w:r w:rsidRPr="00306C9F">
        <w:tab/>
        <w:t>13.5 CE (Provided by SIAP, Sponsored by APA)</w:t>
      </w:r>
    </w:p>
    <w:p w14:paraId="108D50BB" w14:textId="1014E932" w:rsidR="00DD404A" w:rsidRPr="00306C9F" w:rsidRDefault="00DD404A">
      <w:pPr>
        <w:tabs>
          <w:tab w:val="left" w:pos="3040"/>
        </w:tabs>
        <w:ind w:left="160"/>
      </w:pPr>
      <w:r w:rsidRPr="00306C9F">
        <w:tab/>
        <w:t>SIAP is approved by the American Psychological Association</w:t>
      </w:r>
    </w:p>
    <w:p w14:paraId="0D42C9FB" w14:textId="746DCE06" w:rsidR="00DD404A" w:rsidRPr="00306C9F" w:rsidRDefault="00DD404A">
      <w:pPr>
        <w:tabs>
          <w:tab w:val="left" w:pos="3040"/>
        </w:tabs>
        <w:ind w:left="160"/>
      </w:pPr>
      <w:r w:rsidRPr="00306C9F">
        <w:tab/>
        <w:t>to sponsor continuing education for psychologists.</w:t>
      </w:r>
      <w:r w:rsidRPr="00306C9F">
        <w:tab/>
      </w:r>
    </w:p>
    <w:p w14:paraId="3385BEEE" w14:textId="4F58A2FE" w:rsidR="00DD404A" w:rsidRPr="00306C9F" w:rsidRDefault="00DD404A">
      <w:pPr>
        <w:tabs>
          <w:tab w:val="left" w:pos="3040"/>
        </w:tabs>
        <w:ind w:left="160"/>
      </w:pPr>
      <w:r w:rsidRPr="00306C9F">
        <w:tab/>
        <w:t>SIAP maintains responsibility for the program and its content.</w:t>
      </w:r>
    </w:p>
    <w:p w14:paraId="22CEFDB0" w14:textId="77777777" w:rsidR="00BE722B" w:rsidRPr="00306C9F" w:rsidRDefault="00BE722B">
      <w:pPr>
        <w:pStyle w:val="BodyText"/>
        <w:spacing w:before="1"/>
        <w:rPr>
          <w:sz w:val="22"/>
          <w:szCs w:val="22"/>
        </w:rPr>
      </w:pPr>
    </w:p>
    <w:p w14:paraId="02E53836" w14:textId="63C347E8" w:rsidR="00BE722B" w:rsidRPr="00306C9F" w:rsidRDefault="0017755A" w:rsidP="00E8110B">
      <w:pPr>
        <w:tabs>
          <w:tab w:val="left" w:pos="3040"/>
        </w:tabs>
        <w:spacing w:before="1"/>
        <w:ind w:left="160"/>
      </w:pPr>
      <w:r w:rsidRPr="00306C9F">
        <w:rPr>
          <w:b/>
        </w:rPr>
        <w:t>Location:</w:t>
      </w:r>
      <w:r w:rsidRPr="00306C9F">
        <w:rPr>
          <w:b/>
        </w:rPr>
        <w:tab/>
      </w:r>
      <w:r w:rsidR="00E8110B" w:rsidRPr="00306C9F">
        <w:t>Online Only</w:t>
      </w:r>
      <w:r w:rsidR="001F5B1F">
        <w:t>: You will be provided with a ZOOM link each day.</w:t>
      </w:r>
    </w:p>
    <w:p w14:paraId="2EAA1888" w14:textId="77777777" w:rsidR="00BE722B" w:rsidRPr="00306C9F" w:rsidRDefault="00BE722B">
      <w:pPr>
        <w:pStyle w:val="BodyText"/>
        <w:spacing w:before="9"/>
        <w:rPr>
          <w:sz w:val="22"/>
          <w:szCs w:val="22"/>
        </w:rPr>
      </w:pPr>
    </w:p>
    <w:p w14:paraId="69746984" w14:textId="129566EC" w:rsidR="00306C9F" w:rsidRDefault="0017755A">
      <w:pPr>
        <w:tabs>
          <w:tab w:val="left" w:pos="3040"/>
        </w:tabs>
        <w:ind w:left="160"/>
      </w:pPr>
      <w:r w:rsidRPr="00306C9F">
        <w:rPr>
          <w:b/>
        </w:rPr>
        <w:t>Class</w:t>
      </w:r>
      <w:r w:rsidRPr="00306C9F">
        <w:rPr>
          <w:b/>
          <w:spacing w:val="-2"/>
        </w:rPr>
        <w:t xml:space="preserve"> </w:t>
      </w:r>
      <w:r w:rsidRPr="00306C9F">
        <w:rPr>
          <w:b/>
        </w:rPr>
        <w:t>Meeting</w:t>
      </w:r>
      <w:r w:rsidRPr="00306C9F">
        <w:rPr>
          <w:b/>
          <w:spacing w:val="-1"/>
        </w:rPr>
        <w:t xml:space="preserve"> </w:t>
      </w:r>
      <w:r w:rsidRPr="00306C9F">
        <w:rPr>
          <w:b/>
        </w:rPr>
        <w:t>Dates</w:t>
      </w:r>
      <w:r w:rsidRPr="00306C9F">
        <w:t>:</w:t>
      </w:r>
      <w:r w:rsidRPr="00306C9F">
        <w:tab/>
      </w:r>
      <w:r w:rsidR="00E8110B" w:rsidRPr="00306C9F">
        <w:t>February 13 &amp; 14, 2021</w:t>
      </w:r>
    </w:p>
    <w:p w14:paraId="4E7BD3A1" w14:textId="1D94D64E" w:rsidR="00BE722B" w:rsidRPr="00306C9F" w:rsidRDefault="00306C9F">
      <w:pPr>
        <w:tabs>
          <w:tab w:val="left" w:pos="3040"/>
        </w:tabs>
        <w:ind w:left="160"/>
      </w:pPr>
      <w:r>
        <w:rPr>
          <w:b/>
        </w:rPr>
        <w:tab/>
      </w:r>
      <w:r w:rsidR="0017755A" w:rsidRPr="00306C9F">
        <w:t>8:00</w:t>
      </w:r>
      <w:r w:rsidR="000D038C">
        <w:t xml:space="preserve"> </w:t>
      </w:r>
      <w:r w:rsidR="0017755A" w:rsidRPr="00306C9F">
        <w:t>am-</w:t>
      </w:r>
      <w:r w:rsidR="00986BD2">
        <w:t>5</w:t>
      </w:r>
      <w:r w:rsidR="0017755A" w:rsidRPr="00306C9F">
        <w:t>:00</w:t>
      </w:r>
      <w:r w:rsidR="000D038C">
        <w:t xml:space="preserve"> </w:t>
      </w:r>
      <w:r w:rsidR="0017755A" w:rsidRPr="00306C9F">
        <w:t>pm</w:t>
      </w:r>
      <w:r w:rsidR="003C11F7">
        <w:t xml:space="preserve"> MST</w:t>
      </w:r>
    </w:p>
    <w:p w14:paraId="7F729722" w14:textId="77777777" w:rsidR="00BE722B" w:rsidRPr="00306C9F" w:rsidRDefault="00BE722B">
      <w:pPr>
        <w:pStyle w:val="BodyText"/>
        <w:spacing w:before="1"/>
        <w:rPr>
          <w:sz w:val="22"/>
          <w:szCs w:val="22"/>
        </w:rPr>
      </w:pPr>
    </w:p>
    <w:p w14:paraId="6A1CF6C6" w14:textId="77777777" w:rsidR="00BE722B" w:rsidRPr="00306C9F" w:rsidRDefault="0017755A">
      <w:pPr>
        <w:pStyle w:val="BodyText"/>
        <w:tabs>
          <w:tab w:val="left" w:pos="3040"/>
        </w:tabs>
        <w:ind w:left="3041" w:right="3719" w:hanging="2881"/>
        <w:rPr>
          <w:sz w:val="22"/>
          <w:szCs w:val="22"/>
        </w:rPr>
      </w:pPr>
      <w:r w:rsidRPr="00306C9F">
        <w:rPr>
          <w:b/>
          <w:sz w:val="22"/>
          <w:szCs w:val="22"/>
        </w:rPr>
        <w:t>Instructor(s)</w:t>
      </w:r>
      <w:r w:rsidRPr="00306C9F">
        <w:rPr>
          <w:sz w:val="22"/>
          <w:szCs w:val="22"/>
        </w:rPr>
        <w:t>:</w:t>
      </w:r>
      <w:r w:rsidRPr="00306C9F">
        <w:rPr>
          <w:sz w:val="22"/>
          <w:szCs w:val="22"/>
        </w:rPr>
        <w:tab/>
        <w:t xml:space="preserve">Marlin Hoover, PhD, MSCP, </w:t>
      </w:r>
      <w:r w:rsidRPr="00306C9F">
        <w:rPr>
          <w:spacing w:val="-4"/>
          <w:sz w:val="22"/>
          <w:szCs w:val="22"/>
        </w:rPr>
        <w:t xml:space="preserve">ABPP </w:t>
      </w:r>
      <w:r w:rsidRPr="00306C9F">
        <w:rPr>
          <w:sz w:val="22"/>
          <w:szCs w:val="22"/>
        </w:rPr>
        <w:t>Prescribing Psychologist</w:t>
      </w:r>
    </w:p>
    <w:p w14:paraId="7433FAD8" w14:textId="77777777" w:rsidR="00BE722B" w:rsidRPr="00306C9F" w:rsidRDefault="00BE722B">
      <w:pPr>
        <w:pStyle w:val="BodyText"/>
        <w:spacing w:before="10"/>
        <w:rPr>
          <w:sz w:val="22"/>
          <w:szCs w:val="22"/>
        </w:rPr>
      </w:pPr>
    </w:p>
    <w:p w14:paraId="3F10F3F1" w14:textId="067A6F07" w:rsidR="002C411E" w:rsidRPr="00306C9F" w:rsidRDefault="0017755A" w:rsidP="00306C9F">
      <w:pPr>
        <w:tabs>
          <w:tab w:val="left" w:pos="3040"/>
        </w:tabs>
        <w:spacing w:before="1"/>
        <w:rPr>
          <w:b/>
        </w:rPr>
      </w:pPr>
      <w:r w:rsidRPr="00306C9F">
        <w:rPr>
          <w:b/>
        </w:rPr>
        <w:t>Required</w:t>
      </w:r>
      <w:r w:rsidRPr="00306C9F">
        <w:rPr>
          <w:b/>
          <w:spacing w:val="-1"/>
        </w:rPr>
        <w:t xml:space="preserve"> </w:t>
      </w:r>
      <w:r w:rsidR="00306C9F">
        <w:rPr>
          <w:b/>
        </w:rPr>
        <w:t>Reading</w:t>
      </w:r>
      <w:r w:rsidRPr="00306C9F">
        <w:rPr>
          <w:b/>
        </w:rPr>
        <w:t>:</w:t>
      </w:r>
      <w:r w:rsidRPr="00306C9F">
        <w:rPr>
          <w:b/>
        </w:rPr>
        <w:tab/>
      </w:r>
    </w:p>
    <w:p w14:paraId="1550D37C" w14:textId="77777777" w:rsidR="002C411E" w:rsidRPr="00306C9F" w:rsidRDefault="002C411E">
      <w:pPr>
        <w:tabs>
          <w:tab w:val="left" w:pos="3040"/>
        </w:tabs>
        <w:spacing w:before="1"/>
        <w:ind w:left="160"/>
        <w:rPr>
          <w:b/>
        </w:rPr>
      </w:pPr>
    </w:p>
    <w:p w14:paraId="1457D4A5" w14:textId="42F9D70C" w:rsidR="00BE722B" w:rsidRPr="00565D5B" w:rsidRDefault="00660D56" w:rsidP="002C411E">
      <w:pPr>
        <w:tabs>
          <w:tab w:val="left" w:pos="3040"/>
        </w:tabs>
        <w:spacing w:before="1"/>
        <w:ind w:left="720" w:hanging="720"/>
        <w:rPr>
          <w:u w:val="single"/>
        </w:rPr>
      </w:pPr>
      <w:hyperlink r:id="rId5">
        <w:r w:rsidR="0017755A" w:rsidRPr="00306C9F">
          <w:t xml:space="preserve">Stahl, </w:t>
        </w:r>
      </w:hyperlink>
      <w:r w:rsidR="0017755A" w:rsidRPr="00306C9F">
        <w:t xml:space="preserve">S. M. (2017). </w:t>
      </w:r>
      <w:r w:rsidR="0017755A" w:rsidRPr="00306C9F">
        <w:rPr>
          <w:i/>
        </w:rPr>
        <w:t>Stahl’s Essential Psychopharmacology: Prescriber’s</w:t>
      </w:r>
      <w:r w:rsidR="0017755A" w:rsidRPr="00306C9F">
        <w:rPr>
          <w:i/>
          <w:spacing w:val="-18"/>
        </w:rPr>
        <w:t xml:space="preserve"> </w:t>
      </w:r>
      <w:r w:rsidR="0017755A" w:rsidRPr="00306C9F">
        <w:rPr>
          <w:i/>
        </w:rPr>
        <w:t>Guide</w:t>
      </w:r>
      <w:r w:rsidR="002C411E" w:rsidRPr="00306C9F">
        <w:rPr>
          <w:i/>
        </w:rPr>
        <w:t xml:space="preserve"> </w:t>
      </w:r>
      <w:r w:rsidR="0017755A" w:rsidRPr="00306C9F">
        <w:rPr>
          <w:i/>
        </w:rPr>
        <w:t xml:space="preserve">to Psychopharmacology </w:t>
      </w:r>
      <w:r w:rsidR="0017755A" w:rsidRPr="00306C9F">
        <w:t>(6th Ed.). New York, New York: Cambridge University Press.</w:t>
      </w:r>
      <w:r w:rsidR="002C411E" w:rsidRPr="00306C9F">
        <w:t xml:space="preserve"> </w:t>
      </w:r>
      <w:r w:rsidR="0017755A" w:rsidRPr="00306C9F">
        <w:t>Review</w:t>
      </w:r>
      <w:r w:rsidR="0017755A" w:rsidRPr="00565D5B">
        <w:t xml:space="preserve">: </w:t>
      </w:r>
      <w:r w:rsidR="00565D5B" w:rsidRPr="00565D5B">
        <w:rPr>
          <w:u w:val="single"/>
        </w:rPr>
        <w:t>R</w:t>
      </w:r>
      <w:r w:rsidR="0017755A" w:rsidRPr="00565D5B">
        <w:rPr>
          <w:u w:val="single"/>
        </w:rPr>
        <w:t>eferences to anticholinergic side effects.</w:t>
      </w:r>
    </w:p>
    <w:p w14:paraId="3B8873F2" w14:textId="7CD4E1C1" w:rsidR="007D43CD" w:rsidRDefault="007D43CD" w:rsidP="002C411E">
      <w:pPr>
        <w:tabs>
          <w:tab w:val="left" w:pos="3040"/>
        </w:tabs>
        <w:spacing w:before="1"/>
        <w:ind w:left="720" w:hanging="720"/>
      </w:pPr>
    </w:p>
    <w:p w14:paraId="4AF75AAF" w14:textId="77777777" w:rsidR="007D43CD" w:rsidRDefault="007D43CD" w:rsidP="007D43CD">
      <w:pPr>
        <w:ind w:left="-720" w:firstLine="720"/>
        <w:rPr>
          <w:color w:val="090909"/>
          <w:sz w:val="24"/>
          <w:szCs w:val="24"/>
        </w:rPr>
      </w:pPr>
      <w:r w:rsidRPr="007D43CD">
        <w:rPr>
          <w:color w:val="090909"/>
          <w:sz w:val="24"/>
          <w:szCs w:val="24"/>
        </w:rPr>
        <w:t>Benjamin Sadock, Virginia Sadock &amp; Pedro Ruiz (2017) Kaplan &amp; Sadock’s</w:t>
      </w:r>
      <w:r>
        <w:rPr>
          <w:color w:val="090909"/>
          <w:sz w:val="24"/>
          <w:szCs w:val="24"/>
        </w:rPr>
        <w:t xml:space="preserve"> </w:t>
      </w:r>
      <w:r w:rsidRPr="007D43CD">
        <w:rPr>
          <w:color w:val="090909"/>
          <w:sz w:val="24"/>
          <w:szCs w:val="24"/>
        </w:rPr>
        <w:t>Comprehensive</w:t>
      </w:r>
    </w:p>
    <w:p w14:paraId="2C38B300" w14:textId="0E5EBB87" w:rsidR="007D43CD" w:rsidRPr="007D43CD" w:rsidRDefault="007D43CD" w:rsidP="007D43CD">
      <w:pPr>
        <w:ind w:firstLine="720"/>
        <w:rPr>
          <w:color w:val="090909"/>
          <w:sz w:val="24"/>
          <w:szCs w:val="24"/>
        </w:rPr>
      </w:pPr>
      <w:r w:rsidRPr="007D43CD">
        <w:rPr>
          <w:color w:val="090909"/>
          <w:sz w:val="24"/>
          <w:szCs w:val="24"/>
        </w:rPr>
        <w:t>Textbook of Psychiatry</w:t>
      </w:r>
      <w:r w:rsidRPr="007D43CD">
        <w:rPr>
          <w:i/>
          <w:iCs/>
          <w:color w:val="090909"/>
          <w:sz w:val="24"/>
          <w:szCs w:val="24"/>
        </w:rPr>
        <w:t xml:space="preserve"> </w:t>
      </w:r>
      <w:r w:rsidRPr="007D43CD">
        <w:rPr>
          <w:color w:val="090909"/>
          <w:sz w:val="24"/>
          <w:szCs w:val="24"/>
        </w:rPr>
        <w:t>(10</w:t>
      </w:r>
      <w:r w:rsidRPr="007D43CD">
        <w:rPr>
          <w:color w:val="090909"/>
          <w:sz w:val="24"/>
          <w:szCs w:val="24"/>
          <w:vertAlign w:val="superscript"/>
        </w:rPr>
        <w:t>th</w:t>
      </w:r>
      <w:r w:rsidRPr="007D43CD">
        <w:rPr>
          <w:color w:val="090909"/>
          <w:sz w:val="24"/>
          <w:szCs w:val="24"/>
        </w:rPr>
        <w:t xml:space="preserve"> ed). </w:t>
      </w:r>
      <w:r w:rsidRPr="007D43CD">
        <w:rPr>
          <w:i/>
          <w:iCs/>
          <w:color w:val="090909"/>
          <w:sz w:val="24"/>
          <w:szCs w:val="24"/>
        </w:rPr>
        <w:t>Wolters Kluwe</w:t>
      </w:r>
      <w:r w:rsidRPr="007D43CD">
        <w:rPr>
          <w:color w:val="090909"/>
          <w:sz w:val="24"/>
          <w:szCs w:val="24"/>
        </w:rPr>
        <w:t xml:space="preserve">r. </w:t>
      </w:r>
    </w:p>
    <w:p w14:paraId="2E3FBF50" w14:textId="77777777" w:rsidR="007D43CD" w:rsidRDefault="007D43CD" w:rsidP="007D43CD">
      <w:pPr>
        <w:ind w:firstLine="720"/>
        <w:rPr>
          <w:color w:val="090909"/>
          <w:sz w:val="24"/>
          <w:szCs w:val="24"/>
        </w:rPr>
      </w:pPr>
      <w:r w:rsidRPr="007D43CD">
        <w:rPr>
          <w:color w:val="090909"/>
          <w:sz w:val="24"/>
          <w:szCs w:val="24"/>
        </w:rPr>
        <w:t>Kindle online version recommended for reference through the remaining</w:t>
      </w:r>
      <w:r>
        <w:rPr>
          <w:color w:val="090909"/>
          <w:sz w:val="24"/>
          <w:szCs w:val="24"/>
        </w:rPr>
        <w:t xml:space="preserve"> </w:t>
      </w:r>
      <w:r w:rsidRPr="007D43CD">
        <w:rPr>
          <w:color w:val="090909"/>
          <w:sz w:val="24"/>
          <w:szCs w:val="24"/>
        </w:rPr>
        <w:t xml:space="preserve">Courses. </w:t>
      </w:r>
    </w:p>
    <w:p w14:paraId="0DE596F6" w14:textId="458C30FA" w:rsidR="007D43CD" w:rsidRPr="00306C9F" w:rsidRDefault="007D43CD" w:rsidP="007D43CD">
      <w:pPr>
        <w:ind w:firstLine="720"/>
        <w:rPr>
          <w:i/>
        </w:rPr>
      </w:pPr>
      <w:r>
        <w:rPr>
          <w:color w:val="090909"/>
          <w:sz w:val="24"/>
          <w:szCs w:val="24"/>
        </w:rPr>
        <w:t xml:space="preserve">Read </w:t>
      </w:r>
      <w:r w:rsidRPr="007D43CD">
        <w:rPr>
          <w:color w:val="090909"/>
          <w:sz w:val="24"/>
          <w:szCs w:val="24"/>
        </w:rPr>
        <w:t xml:space="preserve">Chapter </w:t>
      </w:r>
      <w:r>
        <w:rPr>
          <w:color w:val="090909"/>
          <w:sz w:val="24"/>
          <w:szCs w:val="24"/>
        </w:rPr>
        <w:t xml:space="preserve">57 </w:t>
      </w:r>
      <w:r w:rsidRPr="007D43CD">
        <w:rPr>
          <w:color w:val="090909"/>
          <w:sz w:val="24"/>
          <w:szCs w:val="24"/>
          <w:u w:val="single"/>
        </w:rPr>
        <w:t>Geriatric Psychiatry.</w:t>
      </w:r>
    </w:p>
    <w:p w14:paraId="088576F7" w14:textId="1AA6E215" w:rsidR="00BE722B" w:rsidRDefault="00BE722B" w:rsidP="002C411E">
      <w:pPr>
        <w:pStyle w:val="BodyText"/>
        <w:spacing w:before="1"/>
        <w:ind w:left="720" w:hanging="720"/>
        <w:rPr>
          <w:sz w:val="22"/>
          <w:szCs w:val="22"/>
        </w:rPr>
      </w:pPr>
    </w:p>
    <w:p w14:paraId="0D094088" w14:textId="42A5995A" w:rsidR="00DD5334" w:rsidRPr="00DD5334" w:rsidRDefault="00DD5334" w:rsidP="00DD5334">
      <w:pPr>
        <w:ind w:left="720" w:right="1091" w:hanging="720"/>
        <w:rPr>
          <w:szCs w:val="24"/>
          <w:u w:val="single"/>
        </w:rPr>
      </w:pPr>
      <w:r w:rsidRPr="00DD5334">
        <w:rPr>
          <w:szCs w:val="24"/>
        </w:rPr>
        <w:t>Procyshyn, R. M., Bezchlibnyk-Butler, K. Z., &amp; Jeffries, J. J. (20</w:t>
      </w:r>
      <w:r w:rsidR="00022737">
        <w:rPr>
          <w:szCs w:val="24"/>
        </w:rPr>
        <w:t>20</w:t>
      </w:r>
      <w:r w:rsidRPr="00DD5334">
        <w:rPr>
          <w:szCs w:val="24"/>
        </w:rPr>
        <w:t xml:space="preserve">). </w:t>
      </w:r>
      <w:r w:rsidRPr="00DD5334">
        <w:rPr>
          <w:i/>
          <w:szCs w:val="24"/>
        </w:rPr>
        <w:t xml:space="preserve">Clinical handbook of psychotropic drugs </w:t>
      </w:r>
      <w:r w:rsidRPr="00DD5334">
        <w:rPr>
          <w:szCs w:val="24"/>
        </w:rPr>
        <w:t>(2</w:t>
      </w:r>
      <w:r w:rsidR="00022737">
        <w:rPr>
          <w:szCs w:val="24"/>
        </w:rPr>
        <w:t>3rd</w:t>
      </w:r>
      <w:r w:rsidRPr="00DD5334">
        <w:rPr>
          <w:szCs w:val="24"/>
        </w:rPr>
        <w:t xml:space="preserve"> ed.). Boston: </w:t>
      </w:r>
      <w:proofErr w:type="spellStart"/>
      <w:r w:rsidRPr="00DD5334">
        <w:rPr>
          <w:szCs w:val="24"/>
        </w:rPr>
        <w:t>Hogrefe</w:t>
      </w:r>
      <w:proofErr w:type="spellEnd"/>
      <w:r w:rsidRPr="00DD5334">
        <w:rPr>
          <w:szCs w:val="24"/>
        </w:rPr>
        <w:t xml:space="preserve"> Publishing.</w:t>
      </w:r>
      <w:r>
        <w:rPr>
          <w:szCs w:val="24"/>
        </w:rPr>
        <w:t xml:space="preserve"> </w:t>
      </w:r>
      <w:r>
        <w:rPr>
          <w:szCs w:val="24"/>
          <w:u w:val="single"/>
        </w:rPr>
        <w:t>Drugs for the Treatment of Dementia.</w:t>
      </w:r>
    </w:p>
    <w:p w14:paraId="3969E9CD" w14:textId="637B040B" w:rsidR="00AA3AEA" w:rsidRPr="00306C9F" w:rsidRDefault="00AA3AEA" w:rsidP="00306C9F">
      <w:pPr>
        <w:pStyle w:val="BodyText"/>
        <w:ind w:right="541"/>
        <w:rPr>
          <w:sz w:val="22"/>
          <w:szCs w:val="22"/>
        </w:rPr>
      </w:pPr>
    </w:p>
    <w:p w14:paraId="04ECDF99" w14:textId="77777777" w:rsidR="00450398" w:rsidRDefault="00450398">
      <w:pPr>
        <w:rPr>
          <w:b/>
          <w:bCs/>
        </w:rPr>
      </w:pPr>
      <w:r>
        <w:rPr>
          <w:b/>
          <w:bCs/>
        </w:rPr>
        <w:br w:type="page"/>
      </w:r>
    </w:p>
    <w:p w14:paraId="0F9A813F" w14:textId="4FCCF557" w:rsidR="00AA3AEA" w:rsidRPr="00306C9F" w:rsidRDefault="00AA3AEA" w:rsidP="00AA3AEA">
      <w:pPr>
        <w:outlineLvl w:val="0"/>
        <w:rPr>
          <w:b/>
          <w:bCs/>
        </w:rPr>
      </w:pPr>
      <w:r w:rsidRPr="00306C9F">
        <w:rPr>
          <w:b/>
          <w:bCs/>
        </w:rPr>
        <w:lastRenderedPageBreak/>
        <w:t xml:space="preserve">Recommended </w:t>
      </w:r>
      <w:r w:rsidR="00306C9F">
        <w:rPr>
          <w:b/>
          <w:bCs/>
        </w:rPr>
        <w:t>Readings</w:t>
      </w:r>
      <w:r w:rsidRPr="00306C9F">
        <w:rPr>
          <w:b/>
          <w:bCs/>
        </w:rPr>
        <w:t>:</w:t>
      </w:r>
      <w:r w:rsidRPr="00306C9F">
        <w:rPr>
          <w:b/>
          <w:bCs/>
          <w:spacing w:val="57"/>
        </w:rPr>
        <w:t xml:space="preserve"> </w:t>
      </w:r>
    </w:p>
    <w:p w14:paraId="77C96043" w14:textId="7D928E13" w:rsidR="00AA3AEA" w:rsidRPr="00306C9F" w:rsidRDefault="00AA3AEA" w:rsidP="00AA3AEA">
      <w:pPr>
        <w:spacing w:before="13" w:line="228" w:lineRule="auto"/>
        <w:ind w:left="720" w:right="10" w:hanging="720"/>
      </w:pPr>
    </w:p>
    <w:p w14:paraId="7A615B65" w14:textId="32B7B13D" w:rsidR="00AA3AEA" w:rsidRPr="00306C9F" w:rsidRDefault="00AA3AEA" w:rsidP="00AA3AEA">
      <w:pPr>
        <w:spacing w:before="13" w:line="228" w:lineRule="auto"/>
        <w:ind w:left="720" w:right="10" w:hanging="720"/>
      </w:pPr>
      <w:r w:rsidRPr="00306C9F">
        <w:t xml:space="preserve">Ballard, C., </w:t>
      </w:r>
      <w:proofErr w:type="spellStart"/>
      <w:r w:rsidRPr="00306C9F">
        <w:t>Youakim</w:t>
      </w:r>
      <w:proofErr w:type="spellEnd"/>
      <w:r w:rsidRPr="00306C9F">
        <w:t xml:space="preserve">, J.M., </w:t>
      </w:r>
      <w:proofErr w:type="spellStart"/>
      <w:r w:rsidRPr="00306C9F">
        <w:t>Coate</w:t>
      </w:r>
      <w:proofErr w:type="spellEnd"/>
      <w:r w:rsidRPr="00306C9F">
        <w:t xml:space="preserve">, B., &amp; S. Stankovic. (2019). </w:t>
      </w:r>
      <w:proofErr w:type="spellStart"/>
      <w:r w:rsidRPr="00306C9F">
        <w:t>Pimavanserin</w:t>
      </w:r>
      <w:proofErr w:type="spellEnd"/>
      <w:r w:rsidRPr="00306C9F">
        <w:t xml:space="preserve"> in Alzheimer’s disease Psychosis: Efficacy in Patients with More Pronounced Psychotic Symptoms. </w:t>
      </w:r>
      <w:r w:rsidRPr="00306C9F">
        <w:rPr>
          <w:i/>
          <w:iCs/>
        </w:rPr>
        <w:t>The Journal of Prevention of Alzheimer’s Disease, 6</w:t>
      </w:r>
      <w:r w:rsidRPr="00306C9F">
        <w:t>(1), 27–33.</w:t>
      </w:r>
    </w:p>
    <w:p w14:paraId="3332D3B3" w14:textId="30C83D29" w:rsidR="00AA3AEA" w:rsidRPr="00306C9F" w:rsidRDefault="00AA3AEA" w:rsidP="00AA3AEA">
      <w:pPr>
        <w:spacing w:before="13" w:line="228" w:lineRule="auto"/>
        <w:ind w:left="720" w:right="10" w:hanging="720"/>
      </w:pPr>
    </w:p>
    <w:p w14:paraId="0CDF257D" w14:textId="32D67C38" w:rsidR="00AA3AEA" w:rsidRDefault="00AA3AEA" w:rsidP="00AA3AEA">
      <w:pPr>
        <w:spacing w:before="13" w:line="228" w:lineRule="auto"/>
        <w:ind w:left="720" w:right="10" w:hanging="720"/>
      </w:pPr>
      <w:proofErr w:type="spellStart"/>
      <w:r w:rsidRPr="00306C9F">
        <w:t>Brenes</w:t>
      </w:r>
      <w:proofErr w:type="spellEnd"/>
      <w:r w:rsidRPr="00306C9F">
        <w:t xml:space="preserve">, G., Divers, J., Miller, M., &amp; </w:t>
      </w:r>
      <w:proofErr w:type="spellStart"/>
      <w:r w:rsidRPr="00306C9F">
        <w:t>Danhauer</w:t>
      </w:r>
      <w:proofErr w:type="spellEnd"/>
      <w:r w:rsidRPr="00306C9F">
        <w:t xml:space="preserve">, S. (2018). A randomized preference trial of cognitive-behavioral therapy and yoga for the treatment of worry in anxious older adults. </w:t>
      </w:r>
      <w:r w:rsidRPr="00306C9F">
        <w:rPr>
          <w:i/>
          <w:iCs/>
        </w:rPr>
        <w:t>Contemporary Clinical Trials Communications, 10,</w:t>
      </w:r>
      <w:r w:rsidRPr="00306C9F">
        <w:t xml:space="preserve"> 169–176.</w:t>
      </w:r>
    </w:p>
    <w:p w14:paraId="69682CF5" w14:textId="77777777" w:rsidR="001C665C" w:rsidRPr="00306C9F" w:rsidRDefault="001C665C" w:rsidP="00AA3AEA">
      <w:pPr>
        <w:spacing w:before="13" w:line="228" w:lineRule="auto"/>
        <w:ind w:left="720" w:right="10" w:hanging="720"/>
      </w:pPr>
    </w:p>
    <w:p w14:paraId="6FD01690" w14:textId="1CFE8495" w:rsidR="00AA3AEA" w:rsidRPr="00306C9F" w:rsidRDefault="00AA3AEA" w:rsidP="00AA3AEA">
      <w:pPr>
        <w:spacing w:before="13" w:line="228" w:lineRule="auto"/>
        <w:ind w:left="720" w:right="10" w:hanging="720"/>
      </w:pPr>
    </w:p>
    <w:p w14:paraId="6B30FBC1" w14:textId="03D75176" w:rsidR="00AA3AEA" w:rsidRPr="00306C9F" w:rsidRDefault="00AA3AEA" w:rsidP="001C665C">
      <w:pPr>
        <w:spacing w:before="13" w:line="228" w:lineRule="auto"/>
        <w:ind w:left="720" w:right="-288" w:hanging="720"/>
      </w:pPr>
      <w:r w:rsidRPr="00306C9F">
        <w:t xml:space="preserve">Kenny, K., de Nicola, P., &amp; Schmidt, M. (2017). Randomized, dose-controlled double-blind trial: Efficacy of an ethanoic kava (Piper </w:t>
      </w:r>
      <w:proofErr w:type="spellStart"/>
      <w:r w:rsidRPr="00306C9F">
        <w:t>methysticum</w:t>
      </w:r>
      <w:proofErr w:type="spellEnd"/>
      <w:r w:rsidRPr="00306C9F">
        <w:t xml:space="preserve"> rhizome) extract for the treatment of anxiety in elderly patients. </w:t>
      </w:r>
      <w:r w:rsidRPr="00306C9F">
        <w:rPr>
          <w:i/>
          <w:iCs/>
        </w:rPr>
        <w:t xml:space="preserve">Traditional &amp; </w:t>
      </w:r>
      <w:proofErr w:type="spellStart"/>
      <w:r w:rsidRPr="00306C9F">
        <w:rPr>
          <w:i/>
          <w:iCs/>
        </w:rPr>
        <w:t>Kampo</w:t>
      </w:r>
      <w:proofErr w:type="spellEnd"/>
      <w:r w:rsidRPr="00306C9F">
        <w:rPr>
          <w:i/>
          <w:iCs/>
        </w:rPr>
        <w:t xml:space="preserve"> Medicine, 5</w:t>
      </w:r>
      <w:r w:rsidRPr="00306C9F">
        <w:t>(1), 3–10.</w:t>
      </w:r>
    </w:p>
    <w:p w14:paraId="765CCBBE" w14:textId="0F38BE55" w:rsidR="00C34845" w:rsidRPr="00306C9F" w:rsidRDefault="00C34845" w:rsidP="001C665C">
      <w:pPr>
        <w:spacing w:before="13" w:line="228" w:lineRule="auto"/>
        <w:ind w:left="720" w:right="-288" w:hanging="720"/>
      </w:pPr>
    </w:p>
    <w:p w14:paraId="27575E40" w14:textId="55F86B83" w:rsidR="00BE722B" w:rsidRPr="00306C9F" w:rsidRDefault="00C34845" w:rsidP="001C665C">
      <w:pPr>
        <w:spacing w:before="13" w:line="228" w:lineRule="auto"/>
        <w:ind w:left="720" w:right="-288" w:hanging="720"/>
      </w:pPr>
      <w:proofErr w:type="spellStart"/>
      <w:r w:rsidRPr="00306C9F">
        <w:t>Maatouk</w:t>
      </w:r>
      <w:proofErr w:type="spellEnd"/>
      <w:r w:rsidRPr="00306C9F">
        <w:t xml:space="preserve">, I., Müller, A., </w:t>
      </w:r>
      <w:proofErr w:type="spellStart"/>
      <w:r w:rsidRPr="00306C9F">
        <w:t>Angerer</w:t>
      </w:r>
      <w:proofErr w:type="spellEnd"/>
      <w:r w:rsidRPr="00306C9F">
        <w:t xml:space="preserve">, P., </w:t>
      </w:r>
      <w:proofErr w:type="spellStart"/>
      <w:r w:rsidRPr="00306C9F">
        <w:t>Schmook</w:t>
      </w:r>
      <w:proofErr w:type="spellEnd"/>
      <w:r w:rsidRPr="00306C9F">
        <w:t xml:space="preserve">, R., </w:t>
      </w:r>
      <w:proofErr w:type="spellStart"/>
      <w:r w:rsidRPr="00306C9F">
        <w:t>Nikendei</w:t>
      </w:r>
      <w:proofErr w:type="spellEnd"/>
      <w:r w:rsidRPr="00306C9F">
        <w:t xml:space="preserve">, C., Herbst, K., </w:t>
      </w:r>
      <w:proofErr w:type="spellStart"/>
      <w:r w:rsidRPr="00306C9F">
        <w:t>Gantner</w:t>
      </w:r>
      <w:proofErr w:type="spellEnd"/>
      <w:r w:rsidRPr="00306C9F">
        <w:t xml:space="preserve">, M., Herzog, W., &amp; </w:t>
      </w:r>
      <w:proofErr w:type="spellStart"/>
      <w:r w:rsidRPr="00306C9F">
        <w:t>Gündel</w:t>
      </w:r>
      <w:proofErr w:type="spellEnd"/>
      <w:r w:rsidRPr="00306C9F">
        <w:t xml:space="preserve">, H. (2018). Healthy ageing at work- Efficacy of group interventions on the mental health of nurses aged 45 and older: Results of a </w:t>
      </w:r>
      <w:proofErr w:type="spellStart"/>
      <w:r w:rsidRPr="00306C9F">
        <w:t>randomised</w:t>
      </w:r>
      <w:proofErr w:type="spellEnd"/>
      <w:r w:rsidRPr="00306C9F">
        <w:t xml:space="preserve">, controlled trial. </w:t>
      </w:r>
      <w:proofErr w:type="spellStart"/>
      <w:r w:rsidRPr="00306C9F">
        <w:rPr>
          <w:i/>
          <w:iCs/>
        </w:rPr>
        <w:t>PloS</w:t>
      </w:r>
      <w:proofErr w:type="spellEnd"/>
      <w:r w:rsidRPr="00306C9F">
        <w:rPr>
          <w:i/>
          <w:iCs/>
        </w:rPr>
        <w:t xml:space="preserve"> one, 13</w:t>
      </w:r>
      <w:r w:rsidRPr="00306C9F">
        <w:t>(1), e0191000.</w:t>
      </w:r>
    </w:p>
    <w:p w14:paraId="2234F849" w14:textId="77777777" w:rsidR="00BE722B" w:rsidRPr="00306C9F" w:rsidRDefault="00BE722B" w:rsidP="001C665C">
      <w:pPr>
        <w:pStyle w:val="BodyText"/>
        <w:ind w:right="-288"/>
        <w:rPr>
          <w:sz w:val="22"/>
          <w:szCs w:val="22"/>
        </w:rPr>
      </w:pPr>
    </w:p>
    <w:p w14:paraId="53DE36E1" w14:textId="5AE320D5" w:rsidR="00DB3A25" w:rsidRPr="0022681C" w:rsidRDefault="0017755A" w:rsidP="001C665C">
      <w:pPr>
        <w:pStyle w:val="BodyText"/>
        <w:ind w:left="160" w:right="-288"/>
        <w:jc w:val="both"/>
        <w:rPr>
          <w:iCs/>
          <w:sz w:val="22"/>
          <w:szCs w:val="22"/>
        </w:rPr>
      </w:pPr>
      <w:r w:rsidRPr="00306C9F">
        <w:rPr>
          <w:b/>
          <w:sz w:val="22"/>
          <w:szCs w:val="22"/>
        </w:rPr>
        <w:t xml:space="preserve">Course Description: </w:t>
      </w:r>
      <w:r w:rsidRPr="00306C9F">
        <w:rPr>
          <w:sz w:val="22"/>
          <w:szCs w:val="22"/>
        </w:rPr>
        <w:t>In this RXPP 609 class we begin our study of psychopharmacological considerations and treatment in special population</w:t>
      </w:r>
      <w:r w:rsidR="0022681C">
        <w:rPr>
          <w:sz w:val="22"/>
          <w:szCs w:val="22"/>
        </w:rPr>
        <w:t xml:space="preserve">s, specifically treatment of elderly adults. </w:t>
      </w:r>
      <w:r w:rsidR="0022681C" w:rsidRPr="0022681C">
        <w:rPr>
          <w:iCs/>
          <w:sz w:val="22"/>
          <w:szCs w:val="22"/>
        </w:rPr>
        <w:t>Major topics include the aging process</w:t>
      </w:r>
      <w:r w:rsidR="0022681C">
        <w:rPr>
          <w:iCs/>
          <w:sz w:val="22"/>
          <w:szCs w:val="22"/>
        </w:rPr>
        <w:t>, measures of functioning in major organ systems,</w:t>
      </w:r>
      <w:r w:rsidR="0022681C" w:rsidRPr="0022681C">
        <w:rPr>
          <w:iCs/>
          <w:sz w:val="22"/>
          <w:szCs w:val="22"/>
        </w:rPr>
        <w:t xml:space="preserve"> and response to drug treatments for a variety of psychiatric conditions.</w:t>
      </w:r>
      <w:r w:rsidR="0022681C">
        <w:rPr>
          <w:iCs/>
          <w:sz w:val="22"/>
          <w:szCs w:val="22"/>
        </w:rPr>
        <w:t xml:space="preserve"> </w:t>
      </w:r>
      <w:r w:rsidR="0022681C" w:rsidRPr="0022681C">
        <w:rPr>
          <w:iCs/>
          <w:sz w:val="22"/>
          <w:szCs w:val="22"/>
        </w:rPr>
        <w:t>The prescription, management, and use of psychotropic medications will be discussed</w:t>
      </w:r>
      <w:r w:rsidR="0022681C">
        <w:rPr>
          <w:iCs/>
          <w:sz w:val="22"/>
          <w:szCs w:val="22"/>
        </w:rPr>
        <w:t xml:space="preserve"> </w:t>
      </w:r>
      <w:r w:rsidR="0022681C" w:rsidRPr="0022681C">
        <w:rPr>
          <w:iCs/>
          <w:sz w:val="22"/>
          <w:szCs w:val="22"/>
        </w:rPr>
        <w:t>in the management of agitation, pain, sleep, and behavior disorders</w:t>
      </w:r>
      <w:r w:rsidR="0022681C">
        <w:rPr>
          <w:iCs/>
          <w:sz w:val="22"/>
          <w:szCs w:val="22"/>
        </w:rPr>
        <w:t>.</w:t>
      </w:r>
      <w:r w:rsidR="0022681C" w:rsidRPr="0022681C">
        <w:rPr>
          <w:iCs/>
          <w:sz w:val="22"/>
          <w:szCs w:val="22"/>
        </w:rPr>
        <w:t xml:space="preserve"> </w:t>
      </w:r>
      <w:r w:rsidR="0022681C">
        <w:rPr>
          <w:iCs/>
          <w:sz w:val="22"/>
          <w:szCs w:val="22"/>
        </w:rPr>
        <w:t>The primary framework uses a</w:t>
      </w:r>
      <w:r w:rsidR="0022681C" w:rsidRPr="0022681C">
        <w:rPr>
          <w:iCs/>
          <w:sz w:val="22"/>
          <w:szCs w:val="22"/>
        </w:rPr>
        <w:t xml:space="preserve"> </w:t>
      </w:r>
      <w:r w:rsidR="0022681C">
        <w:rPr>
          <w:iCs/>
          <w:sz w:val="22"/>
          <w:szCs w:val="22"/>
        </w:rPr>
        <w:t>multidisciplinary lens</w:t>
      </w:r>
      <w:r w:rsidR="0022681C" w:rsidRPr="0022681C">
        <w:rPr>
          <w:iCs/>
          <w:sz w:val="22"/>
          <w:szCs w:val="22"/>
        </w:rPr>
        <w:t xml:space="preserve"> in the interest of patient-centered care. </w:t>
      </w:r>
      <w:r w:rsidR="0022681C">
        <w:rPr>
          <w:sz w:val="22"/>
          <w:szCs w:val="22"/>
        </w:rPr>
        <w:t xml:space="preserve">Issues regarding ethnicity, race, and cultural diversity, </w:t>
      </w:r>
      <w:r w:rsidR="0022681C" w:rsidRPr="0022681C">
        <w:rPr>
          <w:iCs/>
          <w:sz w:val="22"/>
          <w:szCs w:val="22"/>
        </w:rPr>
        <w:t xml:space="preserve">individual differences, rights, </w:t>
      </w:r>
      <w:r w:rsidR="0022681C">
        <w:rPr>
          <w:iCs/>
          <w:sz w:val="22"/>
          <w:szCs w:val="22"/>
        </w:rPr>
        <w:t xml:space="preserve">and </w:t>
      </w:r>
      <w:r w:rsidR="0022681C" w:rsidRPr="0022681C">
        <w:rPr>
          <w:iCs/>
          <w:sz w:val="22"/>
          <w:szCs w:val="22"/>
        </w:rPr>
        <w:t>values</w:t>
      </w:r>
      <w:r w:rsidRPr="00306C9F">
        <w:rPr>
          <w:sz w:val="22"/>
          <w:szCs w:val="22"/>
        </w:rPr>
        <w:t xml:space="preserve"> will be approached d</w:t>
      </w:r>
      <w:r w:rsidR="0022681C">
        <w:rPr>
          <w:sz w:val="22"/>
          <w:szCs w:val="22"/>
        </w:rPr>
        <w:t>uring our approach to the treatment of elderly populations as well as in all classes in clinical p</w:t>
      </w:r>
      <w:r w:rsidRPr="00306C9F">
        <w:rPr>
          <w:sz w:val="22"/>
          <w:szCs w:val="22"/>
        </w:rPr>
        <w:t>sychopharmacology.</w:t>
      </w:r>
      <w:r w:rsidR="0022681C">
        <w:rPr>
          <w:sz w:val="22"/>
          <w:szCs w:val="22"/>
        </w:rPr>
        <w:t xml:space="preserve">  </w:t>
      </w:r>
      <w:r w:rsidR="00DB3A25" w:rsidRPr="0022681C">
        <w:rPr>
          <w:iCs/>
          <w:sz w:val="22"/>
          <w:szCs w:val="22"/>
        </w:rPr>
        <w:t>Ethical issues related to pharmacologic interventions with older adults will be explored, including end-of-life pain management</w:t>
      </w:r>
      <w:r w:rsidR="0022681C">
        <w:rPr>
          <w:iCs/>
          <w:sz w:val="22"/>
          <w:szCs w:val="22"/>
        </w:rPr>
        <w:t xml:space="preserve"> and attention to Alzheimer’s/dementia</w:t>
      </w:r>
      <w:r w:rsidR="00DB3A25" w:rsidRPr="0022681C">
        <w:rPr>
          <w:iCs/>
          <w:sz w:val="22"/>
          <w:szCs w:val="22"/>
        </w:rPr>
        <w:t xml:space="preserve">. </w:t>
      </w:r>
    </w:p>
    <w:p w14:paraId="73E93476" w14:textId="77777777" w:rsidR="00BE722B" w:rsidRPr="00306C9F" w:rsidRDefault="00BE722B" w:rsidP="001C665C">
      <w:pPr>
        <w:pStyle w:val="BodyText"/>
        <w:ind w:right="-288"/>
        <w:rPr>
          <w:sz w:val="22"/>
          <w:szCs w:val="22"/>
        </w:rPr>
      </w:pPr>
    </w:p>
    <w:p w14:paraId="548E84AF" w14:textId="77777777" w:rsidR="00BE722B" w:rsidRPr="00306C9F" w:rsidRDefault="0017755A" w:rsidP="001C665C">
      <w:pPr>
        <w:ind w:left="160" w:right="-288"/>
        <w:jc w:val="both"/>
      </w:pPr>
      <w:r w:rsidRPr="00306C9F">
        <w:rPr>
          <w:b/>
          <w:i/>
          <w:color w:val="333333"/>
        </w:rPr>
        <w:t>This course is congruent with the College of Education's Conceptual Framework in that it provides a general knowledge background, addresses assessment competencies, and integrates content knowledge and professional knowledge</w:t>
      </w:r>
      <w:r w:rsidRPr="00306C9F">
        <w:t>.</w:t>
      </w:r>
    </w:p>
    <w:p w14:paraId="7A85041D" w14:textId="77777777" w:rsidR="00BE722B" w:rsidRPr="00306C9F" w:rsidRDefault="00BE722B" w:rsidP="001C665C">
      <w:pPr>
        <w:pStyle w:val="BodyText"/>
        <w:spacing w:before="2"/>
        <w:ind w:right="-288"/>
        <w:rPr>
          <w:sz w:val="22"/>
          <w:szCs w:val="22"/>
        </w:rPr>
      </w:pPr>
    </w:p>
    <w:p w14:paraId="5BFBC4DE" w14:textId="77777777" w:rsidR="00BE722B" w:rsidRPr="00306C9F" w:rsidRDefault="0017755A" w:rsidP="001C665C">
      <w:pPr>
        <w:ind w:left="160" w:right="-288"/>
        <w:jc w:val="both"/>
      </w:pPr>
      <w:r w:rsidRPr="00306C9F">
        <w:rPr>
          <w:b/>
        </w:rPr>
        <w:t xml:space="preserve">Objectives: </w:t>
      </w:r>
      <w:r w:rsidRPr="00306C9F">
        <w:t>Students will:</w:t>
      </w:r>
    </w:p>
    <w:p w14:paraId="083EDE30" w14:textId="654CCD27" w:rsidR="00611687" w:rsidRPr="00306C9F" w:rsidRDefault="00611687" w:rsidP="001C665C">
      <w:pPr>
        <w:pStyle w:val="BodyText"/>
        <w:numPr>
          <w:ilvl w:val="0"/>
          <w:numId w:val="3"/>
        </w:numPr>
        <w:ind w:right="-288"/>
        <w:rPr>
          <w:sz w:val="22"/>
          <w:szCs w:val="22"/>
        </w:rPr>
      </w:pPr>
      <w:r w:rsidRPr="0022681C">
        <w:rPr>
          <w:sz w:val="22"/>
          <w:szCs w:val="22"/>
        </w:rPr>
        <w:t xml:space="preserve">Assess the renal function of </w:t>
      </w:r>
      <w:r w:rsidR="00A13916" w:rsidRPr="0022681C">
        <w:rPr>
          <w:sz w:val="22"/>
          <w:szCs w:val="22"/>
        </w:rPr>
        <w:t>one</w:t>
      </w:r>
      <w:r w:rsidRPr="0022681C">
        <w:rPr>
          <w:sz w:val="22"/>
          <w:szCs w:val="22"/>
        </w:rPr>
        <w:t xml:space="preserve"> elderly</w:t>
      </w:r>
      <w:r w:rsidRPr="00306C9F">
        <w:rPr>
          <w:sz w:val="22"/>
          <w:szCs w:val="22"/>
        </w:rPr>
        <w:t xml:space="preserve"> patient using a Glomerular Filtration Rate (GFR) calculator.</w:t>
      </w:r>
    </w:p>
    <w:p w14:paraId="6EDE7B1A" w14:textId="4E04D627" w:rsidR="00611687" w:rsidRPr="00306C9F" w:rsidRDefault="00A13916" w:rsidP="001C665C">
      <w:pPr>
        <w:pStyle w:val="BodyText"/>
        <w:numPr>
          <w:ilvl w:val="0"/>
          <w:numId w:val="3"/>
        </w:numPr>
        <w:ind w:right="-288"/>
        <w:rPr>
          <w:sz w:val="22"/>
          <w:szCs w:val="22"/>
        </w:rPr>
      </w:pPr>
      <w:r w:rsidRPr="00306C9F">
        <w:rPr>
          <w:sz w:val="22"/>
          <w:szCs w:val="22"/>
        </w:rPr>
        <w:t>Learn how to order and interpret one renal functioning laboratory study, then</w:t>
      </w:r>
      <w:r w:rsidR="00611687" w:rsidRPr="00306C9F">
        <w:rPr>
          <w:sz w:val="22"/>
          <w:szCs w:val="22"/>
        </w:rPr>
        <w:t xml:space="preserve"> the most appropriate course of treatment for an elderly patient</w:t>
      </w:r>
      <w:r w:rsidRPr="00306C9F">
        <w:rPr>
          <w:sz w:val="22"/>
          <w:szCs w:val="22"/>
        </w:rPr>
        <w:t xml:space="preserve"> </w:t>
      </w:r>
      <w:r w:rsidR="00611687" w:rsidRPr="00306C9F">
        <w:rPr>
          <w:sz w:val="22"/>
          <w:szCs w:val="22"/>
        </w:rPr>
        <w:t>with major depressive disorder</w:t>
      </w:r>
      <w:r w:rsidRPr="00306C9F">
        <w:rPr>
          <w:sz w:val="22"/>
          <w:szCs w:val="22"/>
        </w:rPr>
        <w:t xml:space="preserve">. </w:t>
      </w:r>
    </w:p>
    <w:p w14:paraId="0C12DD76" w14:textId="1D63C713" w:rsidR="00A13916" w:rsidRPr="00306C9F" w:rsidRDefault="00A13916" w:rsidP="001C665C">
      <w:pPr>
        <w:pStyle w:val="ListParagraph"/>
        <w:numPr>
          <w:ilvl w:val="0"/>
          <w:numId w:val="3"/>
        </w:numPr>
        <w:ind w:right="-288"/>
      </w:pPr>
      <w:r w:rsidRPr="00306C9F">
        <w:t xml:space="preserve">Learn how order and interpret one hepatic functioning laboratory study, then the most appropriate course of treatment for an elderly patient with major depressive disorder. </w:t>
      </w:r>
    </w:p>
    <w:p w14:paraId="17D8EB76" w14:textId="437B23A3" w:rsidR="009475FB" w:rsidRPr="00306C9F" w:rsidRDefault="009475FB" w:rsidP="001C665C">
      <w:pPr>
        <w:pStyle w:val="ListParagraph"/>
        <w:numPr>
          <w:ilvl w:val="0"/>
          <w:numId w:val="3"/>
        </w:numPr>
        <w:ind w:right="-288"/>
      </w:pPr>
      <w:r w:rsidRPr="00306C9F">
        <w:t xml:space="preserve">Calculate </w:t>
      </w:r>
      <w:r w:rsidRPr="004328F2">
        <w:t>one</w:t>
      </w:r>
      <w:r w:rsidRPr="00306C9F">
        <w:t xml:space="preserve"> Child-Turcotte-Pugh score of hepatic function for a patient.</w:t>
      </w:r>
    </w:p>
    <w:p w14:paraId="166A97AA" w14:textId="77777777" w:rsidR="009475FB" w:rsidRPr="00306C9F" w:rsidRDefault="00611687" w:rsidP="001C665C">
      <w:pPr>
        <w:pStyle w:val="BodyText"/>
        <w:numPr>
          <w:ilvl w:val="0"/>
          <w:numId w:val="3"/>
        </w:numPr>
        <w:ind w:right="-288"/>
        <w:rPr>
          <w:sz w:val="22"/>
          <w:szCs w:val="22"/>
        </w:rPr>
      </w:pPr>
      <w:r w:rsidRPr="00306C9F">
        <w:rPr>
          <w:sz w:val="22"/>
          <w:szCs w:val="22"/>
        </w:rPr>
        <w:t>Appraise</w:t>
      </w:r>
      <w:r w:rsidR="009475FB" w:rsidRPr="00306C9F">
        <w:rPr>
          <w:sz w:val="22"/>
          <w:szCs w:val="22"/>
        </w:rPr>
        <w:t xml:space="preserve"> one elderly patient’s medication list.</w:t>
      </w:r>
    </w:p>
    <w:p w14:paraId="68257FF7" w14:textId="38E7CEC7" w:rsidR="00611687" w:rsidRPr="00306C9F" w:rsidRDefault="00E64A57" w:rsidP="001C665C">
      <w:pPr>
        <w:pStyle w:val="BodyText"/>
        <w:numPr>
          <w:ilvl w:val="0"/>
          <w:numId w:val="3"/>
        </w:numPr>
        <w:ind w:right="-288"/>
        <w:rPr>
          <w:sz w:val="22"/>
          <w:szCs w:val="22"/>
        </w:rPr>
      </w:pPr>
      <w:r>
        <w:rPr>
          <w:sz w:val="22"/>
          <w:szCs w:val="22"/>
        </w:rPr>
        <w:t>C</w:t>
      </w:r>
      <w:r w:rsidR="00611687" w:rsidRPr="00306C9F">
        <w:rPr>
          <w:sz w:val="22"/>
          <w:szCs w:val="22"/>
        </w:rPr>
        <w:t xml:space="preserve">alculate </w:t>
      </w:r>
      <w:r w:rsidR="009475FB" w:rsidRPr="00306C9F">
        <w:rPr>
          <w:sz w:val="22"/>
          <w:szCs w:val="22"/>
        </w:rPr>
        <w:t>one</w:t>
      </w:r>
      <w:r w:rsidR="00611687" w:rsidRPr="00306C9F">
        <w:rPr>
          <w:sz w:val="22"/>
          <w:szCs w:val="22"/>
        </w:rPr>
        <w:t xml:space="preserve"> Beers score for the patients’ medication list</w:t>
      </w:r>
      <w:r>
        <w:rPr>
          <w:sz w:val="22"/>
          <w:szCs w:val="22"/>
        </w:rPr>
        <w:t xml:space="preserve"> after primary appraisal</w:t>
      </w:r>
      <w:r w:rsidR="00611687" w:rsidRPr="00306C9F">
        <w:rPr>
          <w:sz w:val="22"/>
          <w:szCs w:val="22"/>
        </w:rPr>
        <w:t>.</w:t>
      </w:r>
    </w:p>
    <w:p w14:paraId="01AB19C0" w14:textId="6FE389C6" w:rsidR="00611687" w:rsidRPr="00306C9F" w:rsidRDefault="00611687" w:rsidP="001C665C">
      <w:pPr>
        <w:pStyle w:val="BodyText"/>
        <w:numPr>
          <w:ilvl w:val="0"/>
          <w:numId w:val="3"/>
        </w:numPr>
        <w:ind w:right="-288"/>
        <w:rPr>
          <w:sz w:val="22"/>
          <w:szCs w:val="22"/>
        </w:rPr>
      </w:pPr>
      <w:r w:rsidRPr="00306C9F">
        <w:rPr>
          <w:sz w:val="22"/>
          <w:szCs w:val="22"/>
        </w:rPr>
        <w:t xml:space="preserve">Analyze the patient’s Beers score to select an appropriate medication for </w:t>
      </w:r>
      <w:r w:rsidR="009475FB" w:rsidRPr="00306C9F">
        <w:rPr>
          <w:sz w:val="22"/>
          <w:szCs w:val="22"/>
        </w:rPr>
        <w:t xml:space="preserve">four conditions: insomnia, psychosis, depression, and </w:t>
      </w:r>
      <w:r w:rsidRPr="00306C9F">
        <w:rPr>
          <w:sz w:val="22"/>
          <w:szCs w:val="22"/>
        </w:rPr>
        <w:t>anxiety.</w:t>
      </w:r>
    </w:p>
    <w:p w14:paraId="1C078743" w14:textId="622740CE" w:rsidR="00611687" w:rsidRPr="00306C9F" w:rsidRDefault="00611687" w:rsidP="001C665C">
      <w:pPr>
        <w:pStyle w:val="BodyText"/>
        <w:numPr>
          <w:ilvl w:val="0"/>
          <w:numId w:val="3"/>
        </w:numPr>
        <w:ind w:right="-288"/>
        <w:rPr>
          <w:sz w:val="22"/>
          <w:szCs w:val="22"/>
        </w:rPr>
      </w:pPr>
      <w:r w:rsidRPr="00306C9F">
        <w:rPr>
          <w:sz w:val="22"/>
          <w:szCs w:val="22"/>
        </w:rPr>
        <w:t>Inventory three psychotropic medications that do not require a dose adjustment based on the patient’s GFR.</w:t>
      </w:r>
    </w:p>
    <w:p w14:paraId="67DCC4C5" w14:textId="2883D0FB" w:rsidR="00611687" w:rsidRPr="00306C9F" w:rsidRDefault="00611687" w:rsidP="001C665C">
      <w:pPr>
        <w:pStyle w:val="BodyText"/>
        <w:numPr>
          <w:ilvl w:val="0"/>
          <w:numId w:val="3"/>
        </w:numPr>
        <w:ind w:right="-288"/>
        <w:rPr>
          <w:sz w:val="22"/>
          <w:szCs w:val="22"/>
        </w:rPr>
      </w:pPr>
      <w:r w:rsidRPr="00306C9F">
        <w:rPr>
          <w:sz w:val="22"/>
          <w:szCs w:val="22"/>
        </w:rPr>
        <w:t xml:space="preserve">Appraise an elderly patient’s current </w:t>
      </w:r>
      <w:r w:rsidRPr="0022681C">
        <w:rPr>
          <w:sz w:val="22"/>
          <w:szCs w:val="22"/>
        </w:rPr>
        <w:t>medication li</w:t>
      </w:r>
      <w:r w:rsidR="009475FB" w:rsidRPr="0022681C">
        <w:rPr>
          <w:sz w:val="22"/>
          <w:szCs w:val="22"/>
        </w:rPr>
        <w:t>st using two screening tools:</w:t>
      </w:r>
      <w:r w:rsidR="009475FB" w:rsidRPr="00306C9F">
        <w:rPr>
          <w:sz w:val="22"/>
          <w:szCs w:val="22"/>
        </w:rPr>
        <w:t xml:space="preserve"> Screening Tool of Older P</w:t>
      </w:r>
      <w:r w:rsidRPr="00306C9F">
        <w:rPr>
          <w:sz w:val="22"/>
          <w:szCs w:val="22"/>
        </w:rPr>
        <w:t>eop</w:t>
      </w:r>
      <w:r w:rsidR="009475FB" w:rsidRPr="00306C9F">
        <w:rPr>
          <w:sz w:val="22"/>
          <w:szCs w:val="22"/>
        </w:rPr>
        <w:t>le's prescriptions (STOPP) and Screening Tool to Alert to Right T</w:t>
      </w:r>
      <w:r w:rsidRPr="00306C9F">
        <w:rPr>
          <w:sz w:val="22"/>
          <w:szCs w:val="22"/>
        </w:rPr>
        <w:t>reatment (START) criteria.</w:t>
      </w:r>
    </w:p>
    <w:p w14:paraId="1B75A996" w14:textId="191EC531" w:rsidR="00611687" w:rsidRPr="00306C9F" w:rsidRDefault="009475FB" w:rsidP="001C665C">
      <w:pPr>
        <w:pStyle w:val="BodyText"/>
        <w:numPr>
          <w:ilvl w:val="0"/>
          <w:numId w:val="3"/>
        </w:numPr>
        <w:ind w:right="-288"/>
        <w:rPr>
          <w:sz w:val="22"/>
          <w:szCs w:val="22"/>
        </w:rPr>
      </w:pPr>
      <w:r w:rsidRPr="00306C9F">
        <w:rPr>
          <w:sz w:val="22"/>
          <w:szCs w:val="22"/>
        </w:rPr>
        <w:t>Consistent with the STOPP/START guidelines, c</w:t>
      </w:r>
      <w:r w:rsidR="00611687" w:rsidRPr="00306C9F">
        <w:rPr>
          <w:sz w:val="22"/>
          <w:szCs w:val="22"/>
        </w:rPr>
        <w:t xml:space="preserve">haracterize and defend </w:t>
      </w:r>
      <w:r w:rsidR="00611687" w:rsidRPr="0022681C">
        <w:rPr>
          <w:sz w:val="22"/>
          <w:szCs w:val="22"/>
        </w:rPr>
        <w:t xml:space="preserve">the </w:t>
      </w:r>
      <w:r w:rsidRPr="0022681C">
        <w:rPr>
          <w:sz w:val="22"/>
          <w:szCs w:val="22"/>
        </w:rPr>
        <w:t>one</w:t>
      </w:r>
      <w:r w:rsidRPr="00306C9F">
        <w:rPr>
          <w:sz w:val="22"/>
          <w:szCs w:val="22"/>
        </w:rPr>
        <w:t xml:space="preserve"> </w:t>
      </w:r>
      <w:r w:rsidR="00611687" w:rsidRPr="00306C9F">
        <w:rPr>
          <w:sz w:val="22"/>
          <w:szCs w:val="22"/>
        </w:rPr>
        <w:t>most appropriate medication for a patient experiencing delirium.</w:t>
      </w:r>
    </w:p>
    <w:p w14:paraId="0BF7A82D" w14:textId="273BE09A" w:rsidR="00611687" w:rsidRPr="00306C9F" w:rsidRDefault="00611687" w:rsidP="001C665C">
      <w:pPr>
        <w:pStyle w:val="BodyText"/>
        <w:numPr>
          <w:ilvl w:val="0"/>
          <w:numId w:val="3"/>
        </w:numPr>
        <w:ind w:right="-288"/>
        <w:rPr>
          <w:sz w:val="22"/>
          <w:szCs w:val="22"/>
        </w:rPr>
      </w:pPr>
      <w:r w:rsidRPr="00306C9F">
        <w:rPr>
          <w:sz w:val="22"/>
          <w:szCs w:val="22"/>
        </w:rPr>
        <w:t xml:space="preserve">Estimate </w:t>
      </w:r>
      <w:r w:rsidR="009475FB" w:rsidRPr="0022681C">
        <w:rPr>
          <w:sz w:val="22"/>
          <w:szCs w:val="22"/>
        </w:rPr>
        <w:t>one</w:t>
      </w:r>
      <w:r w:rsidRPr="00306C9F">
        <w:rPr>
          <w:sz w:val="22"/>
          <w:szCs w:val="22"/>
        </w:rPr>
        <w:t xml:space="preserve"> elderly patient’s vulnerability score using the Vulnerable Elders Survey 13th Edition (VES – 13).</w:t>
      </w:r>
    </w:p>
    <w:p w14:paraId="36FB812B" w14:textId="14825286" w:rsidR="00611687" w:rsidRPr="00306C9F" w:rsidRDefault="00611687" w:rsidP="001C665C">
      <w:pPr>
        <w:pStyle w:val="BodyText"/>
        <w:numPr>
          <w:ilvl w:val="0"/>
          <w:numId w:val="3"/>
        </w:numPr>
        <w:ind w:right="-288"/>
        <w:rPr>
          <w:sz w:val="22"/>
          <w:szCs w:val="22"/>
        </w:rPr>
      </w:pPr>
      <w:r w:rsidRPr="00306C9F">
        <w:rPr>
          <w:sz w:val="22"/>
          <w:szCs w:val="22"/>
        </w:rPr>
        <w:t>Differentiate three psychotropic medications that are hepatotoxic and should not be used in patients with cirrhosis.</w:t>
      </w:r>
    </w:p>
    <w:p w14:paraId="699718A6" w14:textId="66A48AF6" w:rsidR="00611687" w:rsidRPr="00306C9F" w:rsidRDefault="00611687" w:rsidP="001C665C">
      <w:pPr>
        <w:pStyle w:val="BodyText"/>
        <w:numPr>
          <w:ilvl w:val="0"/>
          <w:numId w:val="3"/>
        </w:numPr>
        <w:ind w:right="-288"/>
        <w:rPr>
          <w:sz w:val="22"/>
          <w:szCs w:val="22"/>
        </w:rPr>
      </w:pPr>
      <w:r w:rsidRPr="00306C9F">
        <w:rPr>
          <w:sz w:val="22"/>
          <w:szCs w:val="22"/>
        </w:rPr>
        <w:t>Compile the ten most common medical illnesses in the elderly.</w:t>
      </w:r>
    </w:p>
    <w:p w14:paraId="70632897" w14:textId="0DF7795B" w:rsidR="00611687" w:rsidRPr="00306C9F" w:rsidRDefault="00C738B4" w:rsidP="001C665C">
      <w:pPr>
        <w:pStyle w:val="BodyText"/>
        <w:numPr>
          <w:ilvl w:val="0"/>
          <w:numId w:val="3"/>
        </w:numPr>
        <w:ind w:right="-288"/>
        <w:rPr>
          <w:sz w:val="22"/>
          <w:szCs w:val="22"/>
        </w:rPr>
      </w:pPr>
      <w:r w:rsidRPr="00306C9F">
        <w:rPr>
          <w:sz w:val="22"/>
          <w:szCs w:val="22"/>
        </w:rPr>
        <w:lastRenderedPageBreak/>
        <w:t>Based on evidence in peer-reviewed articles, j</w:t>
      </w:r>
      <w:r w:rsidR="00611687" w:rsidRPr="00306C9F">
        <w:rPr>
          <w:sz w:val="22"/>
          <w:szCs w:val="22"/>
        </w:rPr>
        <w:t xml:space="preserve">ustify use of </w:t>
      </w:r>
      <w:r w:rsidRPr="00306C9F">
        <w:rPr>
          <w:sz w:val="22"/>
          <w:szCs w:val="22"/>
        </w:rPr>
        <w:t>two</w:t>
      </w:r>
      <w:r w:rsidR="00611687" w:rsidRPr="00306C9F">
        <w:rPr>
          <w:sz w:val="22"/>
          <w:szCs w:val="22"/>
        </w:rPr>
        <w:t xml:space="preserve"> empirically validated Decision Support Tools (DST’s) </w:t>
      </w:r>
      <w:r w:rsidRPr="00306C9F">
        <w:rPr>
          <w:sz w:val="22"/>
          <w:szCs w:val="22"/>
        </w:rPr>
        <w:t xml:space="preserve">used </w:t>
      </w:r>
      <w:r w:rsidR="00611687" w:rsidRPr="00306C9F">
        <w:rPr>
          <w:sz w:val="22"/>
          <w:szCs w:val="22"/>
        </w:rPr>
        <w:t>for the treatment of Late Life Depression (LLD).</w:t>
      </w:r>
    </w:p>
    <w:p w14:paraId="27191B1F" w14:textId="24499E4A" w:rsidR="00611687" w:rsidRPr="00306C9F" w:rsidRDefault="00611687" w:rsidP="001C665C">
      <w:pPr>
        <w:pStyle w:val="BodyText"/>
        <w:numPr>
          <w:ilvl w:val="0"/>
          <w:numId w:val="3"/>
        </w:numPr>
        <w:ind w:right="-288"/>
        <w:rPr>
          <w:sz w:val="22"/>
          <w:szCs w:val="22"/>
        </w:rPr>
      </w:pPr>
      <w:r w:rsidRPr="00306C9F">
        <w:rPr>
          <w:sz w:val="22"/>
          <w:szCs w:val="22"/>
        </w:rPr>
        <w:t>Defend a ri</w:t>
      </w:r>
      <w:r w:rsidR="009475FB" w:rsidRPr="00306C9F">
        <w:rPr>
          <w:sz w:val="22"/>
          <w:szCs w:val="22"/>
        </w:rPr>
        <w:t>sk/benefit analysis with four of the following drug</w:t>
      </w:r>
      <w:r w:rsidRPr="00306C9F">
        <w:rPr>
          <w:sz w:val="22"/>
          <w:szCs w:val="22"/>
        </w:rPr>
        <w:t xml:space="preserve"> classes </w:t>
      </w:r>
      <w:r w:rsidR="009475FB" w:rsidRPr="00306C9F">
        <w:rPr>
          <w:sz w:val="22"/>
          <w:szCs w:val="22"/>
        </w:rPr>
        <w:t>often used</w:t>
      </w:r>
      <w:r w:rsidRPr="00306C9F">
        <w:rPr>
          <w:sz w:val="22"/>
          <w:szCs w:val="22"/>
        </w:rPr>
        <w:t xml:space="preserve"> the elderly</w:t>
      </w:r>
      <w:r w:rsidR="009475FB" w:rsidRPr="00306C9F">
        <w:rPr>
          <w:sz w:val="22"/>
          <w:szCs w:val="22"/>
        </w:rPr>
        <w:t xml:space="preserve"> treatment populations</w:t>
      </w:r>
      <w:r w:rsidRPr="00306C9F">
        <w:rPr>
          <w:sz w:val="22"/>
          <w:szCs w:val="22"/>
        </w:rPr>
        <w:t>: second-generation antipsychotic (SGA’s); Alzheimer/Dementia (AZD) prescriptions; hypnotics; and mood stabilizers.</w:t>
      </w:r>
    </w:p>
    <w:p w14:paraId="6CBF0C32" w14:textId="28BEB0E1" w:rsidR="00611687" w:rsidRPr="00306C9F" w:rsidRDefault="00611687" w:rsidP="001C665C">
      <w:pPr>
        <w:pStyle w:val="BodyText"/>
        <w:numPr>
          <w:ilvl w:val="0"/>
          <w:numId w:val="3"/>
        </w:numPr>
        <w:ind w:right="-288"/>
        <w:rPr>
          <w:sz w:val="22"/>
          <w:szCs w:val="22"/>
        </w:rPr>
      </w:pPr>
      <w:r w:rsidRPr="00306C9F">
        <w:rPr>
          <w:sz w:val="22"/>
          <w:szCs w:val="22"/>
        </w:rPr>
        <w:t xml:space="preserve">Evaluate the relationship between outcome and sponsorship in </w:t>
      </w:r>
      <w:r w:rsidR="00C738B4" w:rsidRPr="00306C9F">
        <w:rPr>
          <w:sz w:val="22"/>
          <w:szCs w:val="22"/>
        </w:rPr>
        <w:t xml:space="preserve">at least two studies, </w:t>
      </w:r>
      <w:r w:rsidRPr="00306C9F">
        <w:rPr>
          <w:sz w:val="22"/>
          <w:szCs w:val="22"/>
        </w:rPr>
        <w:t xml:space="preserve">of the comparative efficacy of </w:t>
      </w:r>
      <w:r w:rsidR="00C738B4" w:rsidRPr="00306C9F">
        <w:rPr>
          <w:sz w:val="22"/>
          <w:szCs w:val="22"/>
        </w:rPr>
        <w:t>evidence based combined medicine (</w:t>
      </w:r>
      <w:r w:rsidRPr="00306C9F">
        <w:rPr>
          <w:sz w:val="22"/>
          <w:szCs w:val="22"/>
        </w:rPr>
        <w:t>psychotropic medications and psychotherapy</w:t>
      </w:r>
      <w:r w:rsidR="00C738B4" w:rsidRPr="00306C9F">
        <w:rPr>
          <w:sz w:val="22"/>
          <w:szCs w:val="22"/>
        </w:rPr>
        <w:t>)</w:t>
      </w:r>
      <w:r w:rsidRPr="00306C9F">
        <w:rPr>
          <w:sz w:val="22"/>
          <w:szCs w:val="22"/>
        </w:rPr>
        <w:t xml:space="preserve"> </w:t>
      </w:r>
      <w:r w:rsidR="00C738B4" w:rsidRPr="00306C9F">
        <w:rPr>
          <w:sz w:val="22"/>
          <w:szCs w:val="22"/>
        </w:rPr>
        <w:t>researched in</w:t>
      </w:r>
      <w:r w:rsidRPr="00306C9F">
        <w:rPr>
          <w:sz w:val="22"/>
          <w:szCs w:val="22"/>
        </w:rPr>
        <w:t xml:space="preserve"> older adults.</w:t>
      </w:r>
    </w:p>
    <w:p w14:paraId="69F0CCDB" w14:textId="2CB1C89B" w:rsidR="00611687" w:rsidRPr="00306C9F" w:rsidRDefault="00164E7B" w:rsidP="001C665C">
      <w:pPr>
        <w:pStyle w:val="BodyText"/>
        <w:numPr>
          <w:ilvl w:val="0"/>
          <w:numId w:val="3"/>
        </w:numPr>
        <w:ind w:right="-288"/>
        <w:rPr>
          <w:sz w:val="22"/>
          <w:szCs w:val="22"/>
        </w:rPr>
      </w:pPr>
      <w:r w:rsidRPr="00306C9F">
        <w:rPr>
          <w:sz w:val="22"/>
          <w:szCs w:val="22"/>
        </w:rPr>
        <w:t>Develop expected dosage adjustments in four drug classes using with older treatment populations:</w:t>
      </w:r>
      <w:r w:rsidR="00611687" w:rsidRPr="00306C9F">
        <w:rPr>
          <w:sz w:val="22"/>
          <w:szCs w:val="22"/>
        </w:rPr>
        <w:t xml:space="preserve"> benzodiazepines, Selective Serotonin Reuptake Inhibitors (SSRI’s), anticonvulsant</w:t>
      </w:r>
      <w:r w:rsidRPr="00306C9F">
        <w:rPr>
          <w:sz w:val="22"/>
          <w:szCs w:val="22"/>
        </w:rPr>
        <w:t>s, and hypnotics</w:t>
      </w:r>
      <w:r w:rsidR="00611687" w:rsidRPr="00306C9F">
        <w:rPr>
          <w:sz w:val="22"/>
          <w:szCs w:val="22"/>
        </w:rPr>
        <w:t>.</w:t>
      </w:r>
    </w:p>
    <w:p w14:paraId="792057CE" w14:textId="7D6E0C3A" w:rsidR="00BE722B" w:rsidRPr="00306C9F" w:rsidRDefault="00611687" w:rsidP="00611687">
      <w:pPr>
        <w:pStyle w:val="BodyText"/>
        <w:numPr>
          <w:ilvl w:val="0"/>
          <w:numId w:val="3"/>
        </w:numPr>
        <w:rPr>
          <w:sz w:val="22"/>
          <w:szCs w:val="22"/>
        </w:rPr>
      </w:pPr>
      <w:r w:rsidRPr="00306C9F">
        <w:rPr>
          <w:sz w:val="22"/>
          <w:szCs w:val="22"/>
        </w:rPr>
        <w:t>Prepare a medication strategy fo</w:t>
      </w:r>
      <w:r w:rsidR="00164E7B" w:rsidRPr="00306C9F">
        <w:rPr>
          <w:sz w:val="22"/>
          <w:szCs w:val="22"/>
        </w:rPr>
        <w:t>r each of five patients in case vignettes</w:t>
      </w:r>
      <w:r w:rsidRPr="00306C9F">
        <w:rPr>
          <w:sz w:val="22"/>
          <w:szCs w:val="22"/>
        </w:rPr>
        <w:t xml:space="preserve"> presented during the class.</w:t>
      </w:r>
    </w:p>
    <w:p w14:paraId="68D5723E" w14:textId="77777777" w:rsidR="00BE722B" w:rsidRPr="00306C9F" w:rsidRDefault="00BE722B">
      <w:pPr>
        <w:pStyle w:val="BodyText"/>
        <w:rPr>
          <w:sz w:val="22"/>
          <w:szCs w:val="22"/>
        </w:rPr>
      </w:pPr>
    </w:p>
    <w:p w14:paraId="5F8CB0D4" w14:textId="77777777" w:rsidR="00BE722B" w:rsidRPr="00306C9F" w:rsidRDefault="0017755A">
      <w:pPr>
        <w:pStyle w:val="BodyText"/>
        <w:ind w:left="160" w:right="120"/>
        <w:rPr>
          <w:sz w:val="22"/>
          <w:szCs w:val="22"/>
        </w:rPr>
      </w:pPr>
      <w:r w:rsidRPr="00306C9F">
        <w:rPr>
          <w:b/>
          <w:sz w:val="22"/>
          <w:szCs w:val="22"/>
        </w:rPr>
        <w:t xml:space="preserve">Homework: </w:t>
      </w:r>
      <w:r w:rsidRPr="00306C9F">
        <w:rPr>
          <w:sz w:val="22"/>
          <w:szCs w:val="22"/>
        </w:rPr>
        <w:t>The students will be presented with one or more complex case(s) and will be asked to respond to questions about that case. At times, students will also be expected to read journal assignments; and respond in class or discussion threads (in Canvas).</w:t>
      </w:r>
    </w:p>
    <w:p w14:paraId="33689BF8" w14:textId="77777777" w:rsidR="00BE722B" w:rsidRPr="00306C9F" w:rsidRDefault="00BE722B">
      <w:pPr>
        <w:pStyle w:val="BodyText"/>
        <w:spacing w:before="11"/>
        <w:rPr>
          <w:sz w:val="22"/>
          <w:szCs w:val="22"/>
        </w:rPr>
      </w:pPr>
    </w:p>
    <w:p w14:paraId="4A7EF15C" w14:textId="4A797972" w:rsidR="00BE722B" w:rsidRPr="00306C9F" w:rsidRDefault="0017755A" w:rsidP="00CC1550">
      <w:pPr>
        <w:pStyle w:val="BodyText"/>
        <w:ind w:left="160" w:right="256"/>
        <w:rPr>
          <w:sz w:val="22"/>
          <w:szCs w:val="22"/>
        </w:rPr>
      </w:pPr>
      <w:r w:rsidRPr="00306C9F">
        <w:rPr>
          <w:b/>
          <w:sz w:val="22"/>
          <w:szCs w:val="22"/>
        </w:rPr>
        <w:t>Evaluation</w:t>
      </w:r>
      <w:r w:rsidRPr="00306C9F">
        <w:rPr>
          <w:sz w:val="22"/>
          <w:szCs w:val="22"/>
        </w:rPr>
        <w:t>: Student participation, preparation, and attendance is observed. There will be a test (multiple choice, short answer or true/false) which, depending on the plan of the Instructor, may be given to students before class. If the test is given to the students before class, then students should come to class with the test completed because the content will be reviewed during the lecture(s). The exam will be graded after it is taken as a closed-book, time limited test at the end of the weekend of didactic training. Case studies presenting patients with dual diagnoses of</w:t>
      </w:r>
      <w:r w:rsidR="00CC1550">
        <w:rPr>
          <w:sz w:val="22"/>
          <w:szCs w:val="22"/>
        </w:rPr>
        <w:t xml:space="preserve"> m</w:t>
      </w:r>
      <w:r w:rsidRPr="00306C9F">
        <w:rPr>
          <w:sz w:val="22"/>
          <w:szCs w:val="22"/>
        </w:rPr>
        <w:t>edical and psychological problems will be distributed. Students will be expected to formulate a comprehensive analysis of the case(s) utilizing clinical judgment, course materials, and any necessary references. Instructors may also elect to include reading (</w:t>
      </w:r>
      <w:proofErr w:type="gramStart"/>
      <w:r w:rsidRPr="00306C9F">
        <w:rPr>
          <w:sz w:val="22"/>
          <w:szCs w:val="22"/>
        </w:rPr>
        <w:t>e.g.</w:t>
      </w:r>
      <w:proofErr w:type="gramEnd"/>
      <w:r w:rsidRPr="00306C9F">
        <w:rPr>
          <w:sz w:val="22"/>
          <w:szCs w:val="22"/>
        </w:rPr>
        <w:t xml:space="preserve"> journal) assignments for discussion and/or written assignments that demonstrate clinical documentation which meets the standard of care for patient care documentation. Additional assignments will be factored into a weighted or alternative point value system leading to the determination of a letter grade using the rubric below. Typically, students have two weeks to complete all assignments. All submissions must be made by 11:59 pm on the day of the announced deadline.</w:t>
      </w:r>
    </w:p>
    <w:p w14:paraId="02FE4612" w14:textId="77777777" w:rsidR="00BE722B" w:rsidRPr="00306C9F" w:rsidRDefault="00BE722B">
      <w:pPr>
        <w:pStyle w:val="BodyText"/>
        <w:rPr>
          <w:sz w:val="22"/>
          <w:szCs w:val="22"/>
        </w:rPr>
      </w:pPr>
    </w:p>
    <w:p w14:paraId="53A5CFF7" w14:textId="77777777" w:rsidR="00734860" w:rsidRPr="00306C9F" w:rsidRDefault="00734860" w:rsidP="00734860">
      <w:pPr>
        <w:pStyle w:val="Heading1"/>
        <w:tabs>
          <w:tab w:val="left" w:pos="5301"/>
        </w:tabs>
        <w:ind w:left="0"/>
        <w:contextualSpacing/>
        <w:rPr>
          <w:sz w:val="22"/>
          <w:szCs w:val="22"/>
        </w:rPr>
      </w:pPr>
      <w:r w:rsidRPr="00306C9F">
        <w:rPr>
          <w:sz w:val="22"/>
          <w:szCs w:val="22"/>
        </w:rPr>
        <w:t>Standard</w:t>
      </w:r>
      <w:r w:rsidRPr="00306C9F">
        <w:rPr>
          <w:spacing w:val="-5"/>
          <w:sz w:val="22"/>
          <w:szCs w:val="22"/>
        </w:rPr>
        <w:t xml:space="preserve"> </w:t>
      </w:r>
      <w:r w:rsidRPr="00306C9F">
        <w:rPr>
          <w:sz w:val="22"/>
          <w:szCs w:val="22"/>
        </w:rPr>
        <w:t>Grading</w:t>
      </w:r>
      <w:r w:rsidRPr="00306C9F">
        <w:rPr>
          <w:spacing w:val="-3"/>
          <w:sz w:val="22"/>
          <w:szCs w:val="22"/>
        </w:rPr>
        <w:t xml:space="preserve"> </w:t>
      </w:r>
      <w:r w:rsidRPr="00306C9F">
        <w:rPr>
          <w:sz w:val="22"/>
          <w:szCs w:val="22"/>
        </w:rPr>
        <w:t>Assignments</w:t>
      </w:r>
      <w:r w:rsidRPr="00306C9F">
        <w:rPr>
          <w:sz w:val="22"/>
          <w:szCs w:val="22"/>
        </w:rPr>
        <w:tab/>
        <w:t>Points</w:t>
      </w:r>
      <w:r w:rsidRPr="00306C9F">
        <w:rPr>
          <w:spacing w:val="-11"/>
          <w:sz w:val="22"/>
          <w:szCs w:val="22"/>
        </w:rPr>
        <w:t xml:space="preserve"> </w:t>
      </w:r>
      <w:r w:rsidRPr="00306C9F">
        <w:rPr>
          <w:sz w:val="22"/>
          <w:szCs w:val="22"/>
        </w:rPr>
        <w:t>Possible</w:t>
      </w:r>
    </w:p>
    <w:p w14:paraId="1B28240E" w14:textId="77777777" w:rsidR="00734860" w:rsidRPr="00306C9F" w:rsidRDefault="00734860" w:rsidP="00734860">
      <w:pPr>
        <w:pStyle w:val="BodyText"/>
        <w:contextualSpacing/>
        <w:rPr>
          <w:sz w:val="22"/>
          <w:szCs w:val="22"/>
        </w:rPr>
      </w:pPr>
      <w:r w:rsidRPr="00306C9F">
        <w:rPr>
          <w:noProof/>
          <w:sz w:val="22"/>
          <w:szCs w:val="22"/>
        </w:rPr>
        <mc:AlternateContent>
          <mc:Choice Requires="wpg">
            <w:drawing>
              <wp:inline distT="0" distB="0" distL="0" distR="0" wp14:anchorId="0F01CAA3" wp14:editId="52C77F65">
                <wp:extent cx="4008120" cy="12700"/>
                <wp:effectExtent l="12700" t="1905" r="8255"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120" cy="12700"/>
                          <a:chOff x="0" y="0"/>
                          <a:chExt cx="6312" cy="20"/>
                        </a:xfrm>
                      </wpg:grpSpPr>
                      <wps:wsp>
                        <wps:cNvPr id="2" name="Line 3"/>
                        <wps:cNvCnPr>
                          <a:cxnSpLocks/>
                        </wps:cNvCnPr>
                        <wps:spPr bwMode="auto">
                          <a:xfrm>
                            <a:off x="0" y="10"/>
                            <a:ext cx="631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089134" id="Group 2" o:spid="_x0000_s1026" style="width:315.6pt;height:1pt;mso-position-horizontal-relative:char;mso-position-vertical-relative:line" coordsize="63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">
                <v:line id="Line 3" o:spid="_x0000_s1027" style="position:absolute;visibility:visible;mso-wrap-style:square" from="0,10" to="63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" strokeweight=".96pt">
                  <o:lock v:ext="edit" shapetype="f"/>
                </v:line>
                <w10:anchorlock/>
              </v:group>
            </w:pict>
          </mc:Fallback>
        </mc:AlternateContent>
      </w:r>
    </w:p>
    <w:p w14:paraId="6DFBE115" w14:textId="77777777" w:rsidR="00734860" w:rsidRPr="00306C9F" w:rsidRDefault="00734860" w:rsidP="00734860">
      <w:pPr>
        <w:tabs>
          <w:tab w:val="left" w:pos="6021"/>
        </w:tabs>
        <w:contextualSpacing/>
        <w:rPr>
          <w:i/>
        </w:rPr>
      </w:pPr>
      <w:r w:rsidRPr="00306C9F">
        <w:rPr>
          <w:i/>
        </w:rPr>
        <w:t>Test (30 questions @ 2</w:t>
      </w:r>
      <w:r w:rsidRPr="00306C9F">
        <w:rPr>
          <w:i/>
          <w:spacing w:val="-12"/>
        </w:rPr>
        <w:t xml:space="preserve"> </w:t>
      </w:r>
      <w:r w:rsidRPr="00306C9F">
        <w:rPr>
          <w:i/>
        </w:rPr>
        <w:t>pts</w:t>
      </w:r>
      <w:r w:rsidRPr="00306C9F">
        <w:rPr>
          <w:i/>
          <w:spacing w:val="-2"/>
        </w:rPr>
        <w:t xml:space="preserve"> </w:t>
      </w:r>
      <w:r w:rsidRPr="00306C9F">
        <w:rPr>
          <w:i/>
        </w:rPr>
        <w:t>each)</w:t>
      </w:r>
      <w:r w:rsidRPr="00306C9F">
        <w:rPr>
          <w:i/>
        </w:rPr>
        <w:tab/>
        <w:t>30</w:t>
      </w:r>
      <w:r w:rsidRPr="00306C9F">
        <w:rPr>
          <w:i/>
          <w:spacing w:val="-2"/>
        </w:rPr>
        <w:t xml:space="preserve"> </w:t>
      </w:r>
      <w:r w:rsidRPr="00306C9F">
        <w:rPr>
          <w:i/>
        </w:rPr>
        <w:t>pts.</w:t>
      </w:r>
    </w:p>
    <w:p w14:paraId="72F6E514" w14:textId="77777777" w:rsidR="00734860" w:rsidRPr="00306C9F" w:rsidRDefault="00734860" w:rsidP="00734860">
      <w:pPr>
        <w:tabs>
          <w:tab w:val="left" w:pos="6021"/>
        </w:tabs>
        <w:contextualSpacing/>
        <w:rPr>
          <w:i/>
        </w:rPr>
      </w:pPr>
      <w:r w:rsidRPr="00306C9F">
        <w:rPr>
          <w:i/>
        </w:rPr>
        <w:t>Case</w:t>
      </w:r>
      <w:r w:rsidRPr="00306C9F">
        <w:rPr>
          <w:i/>
          <w:spacing w:val="-6"/>
        </w:rPr>
        <w:t xml:space="preserve"> </w:t>
      </w:r>
      <w:r w:rsidRPr="00306C9F">
        <w:rPr>
          <w:i/>
        </w:rPr>
        <w:t>Study</w:t>
      </w:r>
      <w:r w:rsidRPr="00306C9F">
        <w:rPr>
          <w:i/>
          <w:spacing w:val="-3"/>
        </w:rPr>
        <w:t xml:space="preserve"> </w:t>
      </w:r>
      <w:r w:rsidRPr="00306C9F">
        <w:rPr>
          <w:i/>
        </w:rPr>
        <w:t>Analysis/Vignette</w:t>
      </w:r>
      <w:r w:rsidRPr="00306C9F">
        <w:rPr>
          <w:i/>
        </w:rPr>
        <w:tab/>
        <w:t>60</w:t>
      </w:r>
      <w:r w:rsidRPr="00306C9F">
        <w:rPr>
          <w:i/>
          <w:spacing w:val="-2"/>
        </w:rPr>
        <w:t xml:space="preserve"> </w:t>
      </w:r>
      <w:r w:rsidRPr="00306C9F">
        <w:rPr>
          <w:i/>
        </w:rPr>
        <w:t>pts.</w:t>
      </w:r>
    </w:p>
    <w:p w14:paraId="04BF1340" w14:textId="77777777" w:rsidR="00734860" w:rsidRPr="00306C9F" w:rsidRDefault="00734860" w:rsidP="00734860">
      <w:pPr>
        <w:tabs>
          <w:tab w:val="left" w:pos="6021"/>
        </w:tabs>
        <w:contextualSpacing/>
        <w:rPr>
          <w:i/>
        </w:rPr>
      </w:pPr>
      <w:r w:rsidRPr="00306C9F">
        <w:rPr>
          <w:i/>
        </w:rPr>
        <w:t>Participation/Attendance (live or</w:t>
      </w:r>
      <w:r w:rsidRPr="00306C9F">
        <w:rPr>
          <w:i/>
          <w:spacing w:val="-19"/>
        </w:rPr>
        <w:t xml:space="preserve"> </w:t>
      </w:r>
      <w:r w:rsidRPr="00306C9F">
        <w:rPr>
          <w:i/>
        </w:rPr>
        <w:t>via</w:t>
      </w:r>
      <w:r w:rsidRPr="00306C9F">
        <w:rPr>
          <w:i/>
          <w:spacing w:val="-3"/>
        </w:rPr>
        <w:t xml:space="preserve"> </w:t>
      </w:r>
      <w:r w:rsidRPr="00306C9F">
        <w:rPr>
          <w:i/>
        </w:rPr>
        <w:t>AdobeConnect)</w:t>
      </w:r>
      <w:r w:rsidRPr="00306C9F">
        <w:rPr>
          <w:i/>
        </w:rPr>
        <w:tab/>
        <w:t>10</w:t>
      </w:r>
      <w:r w:rsidRPr="00306C9F">
        <w:rPr>
          <w:i/>
          <w:spacing w:val="-2"/>
        </w:rPr>
        <w:t xml:space="preserve"> </w:t>
      </w:r>
      <w:r w:rsidRPr="00306C9F">
        <w:rPr>
          <w:i/>
        </w:rPr>
        <w:t>pts.</w:t>
      </w:r>
    </w:p>
    <w:p w14:paraId="31522FC7" w14:textId="77777777" w:rsidR="00734860" w:rsidRPr="00306C9F" w:rsidRDefault="00734860" w:rsidP="00734860">
      <w:pPr>
        <w:contextualSpacing/>
      </w:pPr>
    </w:p>
    <w:p w14:paraId="38FFC19B" w14:textId="77777777" w:rsidR="00734860" w:rsidRPr="00306C9F" w:rsidRDefault="00734860" w:rsidP="00734860">
      <w:pPr>
        <w:contextualSpacing/>
        <w:rPr>
          <w:b/>
          <w:bCs/>
          <w:u w:val="single"/>
        </w:rPr>
      </w:pPr>
      <w:r w:rsidRPr="00306C9F">
        <w:rPr>
          <w:b/>
          <w:bCs/>
          <w:u w:val="single"/>
        </w:rPr>
        <w:t>Course grades:</w:t>
      </w:r>
    </w:p>
    <w:p w14:paraId="46B328C1" w14:textId="77777777" w:rsidR="00734860" w:rsidRPr="00306C9F" w:rsidRDefault="00734860" w:rsidP="00734860">
      <w:pPr>
        <w:contextualSpacing/>
      </w:pPr>
      <w:r w:rsidRPr="00306C9F">
        <w:t>90-100 pts total</w:t>
      </w:r>
      <w:r w:rsidRPr="00306C9F">
        <w:tab/>
        <w:t xml:space="preserve">= “A” </w:t>
      </w:r>
    </w:p>
    <w:p w14:paraId="622F5EF6" w14:textId="77777777" w:rsidR="00734860" w:rsidRPr="00306C9F" w:rsidRDefault="00734860" w:rsidP="00734860">
      <w:pPr>
        <w:contextualSpacing/>
      </w:pPr>
      <w:r w:rsidRPr="00306C9F">
        <w:t>80-89 pts total</w:t>
      </w:r>
      <w:r w:rsidRPr="00306C9F">
        <w:tab/>
        <w:t>= “B”</w:t>
      </w:r>
    </w:p>
    <w:p w14:paraId="6FD2C660" w14:textId="50965858" w:rsidR="00BE722B" w:rsidRPr="00306C9F" w:rsidRDefault="00734860" w:rsidP="004328F2">
      <w:pPr>
        <w:contextualSpacing/>
      </w:pPr>
      <w:r w:rsidRPr="00306C9F">
        <w:t>70-79 pts total</w:t>
      </w:r>
      <w:r w:rsidRPr="00306C9F">
        <w:tab/>
        <w:t>= “C”</w:t>
      </w:r>
    </w:p>
    <w:p w14:paraId="09021EF7" w14:textId="77777777" w:rsidR="00BE722B" w:rsidRPr="00306C9F" w:rsidRDefault="00BE722B">
      <w:pPr>
        <w:pStyle w:val="BodyText"/>
        <w:rPr>
          <w:i/>
          <w:sz w:val="22"/>
          <w:szCs w:val="22"/>
        </w:rPr>
      </w:pPr>
    </w:p>
    <w:p w14:paraId="316AA081" w14:textId="77777777" w:rsidR="00BE722B" w:rsidRPr="00306C9F" w:rsidRDefault="0017755A">
      <w:pPr>
        <w:ind w:left="160" w:right="115"/>
        <w:jc w:val="both"/>
        <w:rPr>
          <w:i/>
        </w:rPr>
      </w:pPr>
      <w:r w:rsidRPr="00306C9F">
        <w:rPr>
          <w:b/>
          <w:i/>
        </w:rPr>
        <w:t xml:space="preserve">Students with Disabilities: </w:t>
      </w:r>
      <w:r w:rsidRPr="00306C9F">
        <w:rPr>
          <w:i/>
        </w:rPr>
        <w:t xml:space="preserve">If you have or believe you have a disability, you may wish to self-identify. You can do so by providing documentation to the Office of Student Accessibility Services (SAS), located at the Corbett Center Student Union, Room 208 (Telephone 575-646-6840, Fax 575-646-5222, E-Mail: </w:t>
      </w:r>
      <w:hyperlink r:id="rId6">
        <w:r w:rsidRPr="00306C9F">
          <w:rPr>
            <w:i/>
            <w:color w:val="0000FF"/>
            <w:u w:val="single" w:color="0000FF"/>
          </w:rPr>
          <w:t>sas@nmsu.edu</w:t>
        </w:r>
      </w:hyperlink>
      <w:r w:rsidRPr="00306C9F">
        <w:rPr>
          <w:i/>
        </w:rPr>
        <w:t xml:space="preserve">).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SAS, Trudy </w:t>
      </w:r>
      <w:proofErr w:type="spellStart"/>
      <w:r w:rsidRPr="00306C9F">
        <w:rPr>
          <w:i/>
        </w:rPr>
        <w:t>Luken</w:t>
      </w:r>
      <w:proofErr w:type="spellEnd"/>
      <w:r w:rsidRPr="00306C9F">
        <w:rPr>
          <w:i/>
        </w:rPr>
        <w:t>. If you have questions about the Americans with Disabilities Act (ADA), call 575-646-3635. Students should contact the Office of Institutional Equity (575-646-3635) only if they feel they have been discriminated against in any category.</w:t>
      </w:r>
    </w:p>
    <w:p w14:paraId="629C463C" w14:textId="77777777" w:rsidR="00BE722B" w:rsidRPr="00306C9F" w:rsidRDefault="00BE722B">
      <w:pPr>
        <w:pStyle w:val="BodyText"/>
        <w:spacing w:before="3"/>
        <w:rPr>
          <w:i/>
          <w:sz w:val="22"/>
          <w:szCs w:val="22"/>
        </w:rPr>
      </w:pPr>
    </w:p>
    <w:p w14:paraId="5F3A13FE" w14:textId="77777777" w:rsidR="00450398" w:rsidRDefault="00450398">
      <w:pPr>
        <w:rPr>
          <w:b/>
          <w:i/>
          <w:color w:val="202020"/>
        </w:rPr>
      </w:pPr>
      <w:r>
        <w:rPr>
          <w:b/>
          <w:i/>
          <w:color w:val="202020"/>
        </w:rPr>
        <w:br w:type="page"/>
      </w:r>
    </w:p>
    <w:p w14:paraId="203F4FAE" w14:textId="0E4A9B72" w:rsidR="00BE722B" w:rsidRPr="00306C9F" w:rsidRDefault="0017755A">
      <w:pPr>
        <w:spacing w:before="1"/>
        <w:ind w:left="160" w:right="150"/>
        <w:rPr>
          <w:i/>
        </w:rPr>
      </w:pPr>
      <w:r w:rsidRPr="00306C9F">
        <w:rPr>
          <w:b/>
          <w:i/>
          <w:color w:val="202020"/>
        </w:rPr>
        <w:lastRenderedPageBreak/>
        <w:t xml:space="preserve">Student complaints: </w:t>
      </w:r>
      <w:r w:rsidRPr="00306C9F">
        <w:rPr>
          <w:i/>
          <w:color w:val="202020"/>
        </w:rPr>
        <w:t xml:space="preserve">If students have a complaint about a course, they are advised to discuss their concerns directly with the instructor whenever possible. If that does not resolve the problem or if they cannot approach the instructor, students should either access NMSU’s online complaint system at </w:t>
      </w:r>
      <w:hyperlink r:id="rId7">
        <w:r w:rsidRPr="00306C9F">
          <w:rPr>
            <w:i/>
            <w:color w:val="0000FF"/>
            <w:u w:val="single" w:color="0000FF"/>
          </w:rPr>
          <w:t>https://dos.nmsu.edu/concerns/</w:t>
        </w:r>
        <w:r w:rsidRPr="00306C9F">
          <w:rPr>
            <w:i/>
            <w:color w:val="0000FF"/>
          </w:rPr>
          <w:t xml:space="preserve"> </w:t>
        </w:r>
      </w:hyperlink>
      <w:r w:rsidRPr="00306C9F">
        <w:rPr>
          <w:i/>
          <w:color w:val="202020"/>
        </w:rPr>
        <w:t xml:space="preserve">or seek out the department </w:t>
      </w:r>
      <w:r w:rsidR="006C4946" w:rsidRPr="00306C9F">
        <w:rPr>
          <w:i/>
          <w:color w:val="202020"/>
        </w:rPr>
        <w:t xml:space="preserve">head </w:t>
      </w:r>
      <w:r w:rsidR="006C4946" w:rsidRPr="00306C9F">
        <w:rPr>
          <w:i/>
          <w:iCs/>
          <w:color w:val="212121"/>
        </w:rPr>
        <w:t>Dr. Phillip Post, (</w:t>
      </w:r>
      <w:hyperlink r:id="rId8" w:history="1">
        <w:r w:rsidR="006C4946" w:rsidRPr="00306C9F">
          <w:rPr>
            <w:rStyle w:val="Hyperlink"/>
          </w:rPr>
          <w:t>ppost@ad.nmsu.edu</w:t>
        </w:r>
      </w:hyperlink>
      <w:r w:rsidR="006C4946" w:rsidRPr="00306C9F">
        <w:rPr>
          <w:i/>
          <w:iCs/>
          <w:color w:val="212121"/>
        </w:rPr>
        <w:t xml:space="preserve">) for </w:t>
      </w:r>
      <w:proofErr w:type="spellStart"/>
      <w:r w:rsidRPr="00306C9F">
        <w:rPr>
          <w:i/>
          <w:color w:val="202020"/>
        </w:rPr>
        <w:t>for</w:t>
      </w:r>
      <w:proofErr w:type="spellEnd"/>
      <w:r w:rsidRPr="00306C9F">
        <w:rPr>
          <w:i/>
          <w:color w:val="202020"/>
        </w:rPr>
        <w:t xml:space="preserve"> help resolving the problem. </w:t>
      </w:r>
      <w:proofErr w:type="gramStart"/>
      <w:r w:rsidRPr="00306C9F">
        <w:rPr>
          <w:i/>
          <w:color w:val="202020"/>
        </w:rPr>
        <w:t>Both of these</w:t>
      </w:r>
      <w:proofErr w:type="gramEnd"/>
      <w:r w:rsidRPr="00306C9F">
        <w:rPr>
          <w:i/>
          <w:color w:val="202020"/>
        </w:rPr>
        <w:t xml:space="preserve"> processes provide opportunities for the department head to know about issues that need attention and for instructors to receive information about student concerns so that they can respond.</w:t>
      </w:r>
    </w:p>
    <w:p w14:paraId="37E07E8F" w14:textId="77777777" w:rsidR="00BE722B" w:rsidRPr="00306C9F" w:rsidRDefault="00BE722B">
      <w:pPr>
        <w:pStyle w:val="BodyText"/>
        <w:spacing w:before="4"/>
        <w:rPr>
          <w:i/>
          <w:sz w:val="22"/>
          <w:szCs w:val="22"/>
        </w:rPr>
      </w:pPr>
    </w:p>
    <w:p w14:paraId="3A63FE34" w14:textId="77777777" w:rsidR="00BE722B" w:rsidRPr="00306C9F" w:rsidRDefault="0017755A">
      <w:pPr>
        <w:ind w:left="160" w:right="236"/>
        <w:rPr>
          <w:i/>
        </w:rPr>
      </w:pPr>
      <w:r w:rsidRPr="00306C9F">
        <w:rPr>
          <w:b/>
        </w:rPr>
        <w:t xml:space="preserve">Further Notice: </w:t>
      </w:r>
      <w:r w:rsidRPr="00306C9F">
        <w:rPr>
          <w:i/>
        </w:rPr>
        <w:t>Section 504 of the Rehabilitation Act of 1973 and the Americans with Disabilities Act Amendments Act (ADAAA) covers issues relating to disability and accommodations. If a student has questions or needs an accommodation in the classroom (all medical information is treated confidentially), contact:</w:t>
      </w:r>
    </w:p>
    <w:p w14:paraId="291BEAF5" w14:textId="77777777" w:rsidR="00BE722B" w:rsidRPr="00306C9F" w:rsidRDefault="00BE722B">
      <w:pPr>
        <w:pStyle w:val="BodyText"/>
        <w:rPr>
          <w:i/>
          <w:sz w:val="22"/>
          <w:szCs w:val="22"/>
        </w:rPr>
      </w:pPr>
    </w:p>
    <w:p w14:paraId="2F117938" w14:textId="77777777" w:rsidR="00BE722B" w:rsidRPr="00306C9F" w:rsidRDefault="0017755A">
      <w:pPr>
        <w:spacing w:line="207" w:lineRule="exact"/>
        <w:ind w:left="880"/>
      </w:pPr>
      <w:r w:rsidRPr="00306C9F">
        <w:t xml:space="preserve">Trudy </w:t>
      </w:r>
      <w:proofErr w:type="spellStart"/>
      <w:r w:rsidRPr="00306C9F">
        <w:t>Luken</w:t>
      </w:r>
      <w:proofErr w:type="spellEnd"/>
      <w:r w:rsidRPr="00306C9F">
        <w:t>, Director</w:t>
      </w:r>
    </w:p>
    <w:p w14:paraId="4C64265F" w14:textId="77777777" w:rsidR="00BE722B" w:rsidRPr="00306C9F" w:rsidRDefault="0017755A">
      <w:pPr>
        <w:tabs>
          <w:tab w:val="left" w:pos="1600"/>
        </w:tabs>
        <w:ind w:left="880" w:right="3058"/>
      </w:pPr>
      <w:r w:rsidRPr="00306C9F">
        <w:t>Student Accessibility Services (SAS) - Corbett Center Student Union, Rm. 208 Phone:</w:t>
      </w:r>
      <w:r w:rsidRPr="00306C9F">
        <w:tab/>
        <w:t>(575) 646-6840 E-mail:</w:t>
      </w:r>
      <w:r w:rsidRPr="00306C9F">
        <w:rPr>
          <w:spacing w:val="-2"/>
        </w:rPr>
        <w:t xml:space="preserve"> </w:t>
      </w:r>
      <w:hyperlink r:id="rId9">
        <w:r w:rsidRPr="00306C9F">
          <w:t>sas@nmsu.edu</w:t>
        </w:r>
      </w:hyperlink>
    </w:p>
    <w:p w14:paraId="3920D9DD" w14:textId="77777777" w:rsidR="00BE722B" w:rsidRPr="00306C9F" w:rsidRDefault="0017755A">
      <w:pPr>
        <w:spacing w:before="1"/>
        <w:ind w:left="880"/>
      </w:pPr>
      <w:r w:rsidRPr="00306C9F">
        <w:t xml:space="preserve">Website: </w:t>
      </w:r>
      <w:hyperlink r:id="rId10">
        <w:r w:rsidRPr="00306C9F">
          <w:rPr>
            <w:color w:val="0000FF"/>
            <w:u w:val="single" w:color="0000FF"/>
          </w:rPr>
          <w:t>http://sas.nmsu.edu/</w:t>
        </w:r>
      </w:hyperlink>
    </w:p>
    <w:p w14:paraId="3C52B479" w14:textId="77777777" w:rsidR="00BE722B" w:rsidRPr="00306C9F" w:rsidRDefault="00BE722B">
      <w:pPr>
        <w:pStyle w:val="BodyText"/>
        <w:spacing w:before="10"/>
        <w:rPr>
          <w:sz w:val="22"/>
          <w:szCs w:val="22"/>
        </w:rPr>
      </w:pPr>
    </w:p>
    <w:p w14:paraId="4BE260D8" w14:textId="77777777" w:rsidR="00BE722B" w:rsidRPr="00306C9F" w:rsidRDefault="0017755A">
      <w:pPr>
        <w:spacing w:before="93"/>
        <w:ind w:left="160" w:right="202"/>
      </w:pPr>
      <w:r w:rsidRPr="00306C9F">
        <w:t xml:space="preserve">NMSU policy prohibits discrimination on the basis of age, ancestry, color, disability, gender identity, genetic information, national origin, race, religion, retaliation, serious medical condition, sex, sexual orientation, spousal affiliation and protected </w:t>
      </w:r>
      <w:proofErr w:type="gramStart"/>
      <w:r w:rsidRPr="00306C9F">
        <w:t>veterans</w:t>
      </w:r>
      <w:proofErr w:type="gramEnd"/>
      <w:r w:rsidRPr="00306C9F">
        <w:t xml:space="preserve"> status. Furthermore, Title IX prohibits sex discrimination to include sexual misconduct: sexual violence (sexual assault, rape), sexual harassment and retaliation.</w:t>
      </w:r>
    </w:p>
    <w:p w14:paraId="46AA24F8" w14:textId="77777777" w:rsidR="00BE722B" w:rsidRPr="00306C9F" w:rsidRDefault="00BE722B">
      <w:pPr>
        <w:pStyle w:val="BodyText"/>
        <w:rPr>
          <w:sz w:val="22"/>
          <w:szCs w:val="22"/>
        </w:rPr>
      </w:pPr>
    </w:p>
    <w:p w14:paraId="08592A85" w14:textId="77777777" w:rsidR="00BE722B" w:rsidRPr="00306C9F" w:rsidRDefault="0017755A">
      <w:pPr>
        <w:ind w:left="160"/>
      </w:pPr>
      <w:r w:rsidRPr="00306C9F">
        <w:t xml:space="preserve">For more information on discrimination issues, Title IX, Campus </w:t>
      </w:r>
      <w:proofErr w:type="spellStart"/>
      <w:r w:rsidRPr="00306C9F">
        <w:t>SaVE</w:t>
      </w:r>
      <w:proofErr w:type="spellEnd"/>
      <w:r w:rsidRPr="00306C9F">
        <w:t xml:space="preserve"> Act, NMSU Policy Chapter 3.25, NMSU's complaint process, or to file a complaint contact:</w:t>
      </w:r>
    </w:p>
    <w:p w14:paraId="5FC0DD6C" w14:textId="77777777" w:rsidR="00BE722B" w:rsidRPr="00306C9F" w:rsidRDefault="00BE722B">
      <w:pPr>
        <w:pStyle w:val="BodyText"/>
        <w:rPr>
          <w:sz w:val="22"/>
          <w:szCs w:val="22"/>
        </w:rPr>
      </w:pPr>
    </w:p>
    <w:p w14:paraId="04FB5F6A" w14:textId="77777777" w:rsidR="00BE722B" w:rsidRPr="00306C9F" w:rsidRDefault="0017755A">
      <w:pPr>
        <w:spacing w:line="207" w:lineRule="exact"/>
        <w:ind w:left="880"/>
      </w:pPr>
      <w:r w:rsidRPr="00306C9F">
        <w:t xml:space="preserve">Lauri </w:t>
      </w:r>
      <w:proofErr w:type="spellStart"/>
      <w:r w:rsidRPr="00306C9F">
        <w:t>Millot</w:t>
      </w:r>
      <w:proofErr w:type="spellEnd"/>
      <w:r w:rsidRPr="00306C9F">
        <w:t>, Director and Title IX Coordinator</w:t>
      </w:r>
    </w:p>
    <w:p w14:paraId="3A881D8E" w14:textId="77777777" w:rsidR="00BE722B" w:rsidRPr="00306C9F" w:rsidRDefault="0017755A">
      <w:pPr>
        <w:spacing w:line="207" w:lineRule="exact"/>
        <w:ind w:left="880"/>
      </w:pPr>
      <w:r w:rsidRPr="00306C9F">
        <w:t>Agustin Diaz, Associate Director, Title IX Deputy Coordinator</w:t>
      </w:r>
    </w:p>
    <w:p w14:paraId="12E2A555" w14:textId="77777777" w:rsidR="00BE722B" w:rsidRPr="00306C9F" w:rsidRDefault="0017755A">
      <w:pPr>
        <w:tabs>
          <w:tab w:val="left" w:pos="1600"/>
        </w:tabs>
        <w:spacing w:before="2"/>
        <w:ind w:left="880" w:right="2859"/>
      </w:pPr>
      <w:r w:rsidRPr="00306C9F">
        <w:t>Office of Institutional Equity (OIE) - O'Loughlin House, 1130 University Avenue Phone:</w:t>
      </w:r>
      <w:r w:rsidRPr="00306C9F">
        <w:tab/>
        <w:t>(575) 646-3635 E-ma</w:t>
      </w:r>
      <w:hyperlink r:id="rId11">
        <w:r w:rsidRPr="00306C9F">
          <w:t>il:</w:t>
        </w:r>
        <w:r w:rsidRPr="00306C9F">
          <w:rPr>
            <w:spacing w:val="-2"/>
          </w:rPr>
          <w:t xml:space="preserve"> </w:t>
        </w:r>
        <w:r w:rsidRPr="00306C9F">
          <w:t>equity@nmsu.edu</w:t>
        </w:r>
      </w:hyperlink>
    </w:p>
    <w:p w14:paraId="1BED7211" w14:textId="12B50745" w:rsidR="00BE722B" w:rsidRPr="00306C9F" w:rsidRDefault="0017755A">
      <w:pPr>
        <w:spacing w:line="206" w:lineRule="exact"/>
        <w:ind w:left="880"/>
        <w:rPr>
          <w:color w:val="0000FF"/>
          <w:u w:val="single" w:color="0000FF"/>
        </w:rPr>
      </w:pPr>
      <w:r w:rsidRPr="00306C9F">
        <w:t xml:space="preserve">Website: </w:t>
      </w:r>
      <w:hyperlink r:id="rId12">
        <w:r w:rsidRPr="00306C9F">
          <w:rPr>
            <w:color w:val="0000FF"/>
            <w:u w:val="single" w:color="0000FF"/>
          </w:rPr>
          <w:t>http://eeo.nmsu.edu/</w:t>
        </w:r>
      </w:hyperlink>
    </w:p>
    <w:p w14:paraId="77B67571" w14:textId="2DC4719A" w:rsidR="00627DBA" w:rsidRPr="00306C9F" w:rsidRDefault="00627DBA">
      <w:pPr>
        <w:spacing w:line="206" w:lineRule="exact"/>
        <w:ind w:left="880"/>
        <w:rPr>
          <w:color w:val="0000FF"/>
          <w:u w:val="single" w:color="0000FF"/>
        </w:rPr>
      </w:pPr>
    </w:p>
    <w:p w14:paraId="1265FED1" w14:textId="77777777" w:rsidR="00627DBA" w:rsidRPr="00306C9F" w:rsidRDefault="00627DBA" w:rsidP="00627DBA">
      <w:pPr>
        <w:pStyle w:val="BodyText"/>
        <w:spacing w:before="1"/>
        <w:rPr>
          <w:sz w:val="22"/>
          <w:szCs w:val="22"/>
        </w:rPr>
      </w:pPr>
    </w:p>
    <w:p w14:paraId="6DED4268" w14:textId="77777777" w:rsidR="00627DBA" w:rsidRPr="00306C9F" w:rsidRDefault="00627DBA" w:rsidP="00627DBA">
      <w:pPr>
        <w:spacing w:before="92"/>
        <w:ind w:left="160"/>
      </w:pPr>
      <w:r w:rsidRPr="00306C9F">
        <w:rPr>
          <w:u w:val="single"/>
        </w:rPr>
        <w:t>Other NMSU Resources:</w:t>
      </w:r>
    </w:p>
    <w:p w14:paraId="6446FD08" w14:textId="77777777" w:rsidR="00627DBA" w:rsidRPr="00306C9F" w:rsidRDefault="00627DBA">
      <w:pPr>
        <w:spacing w:line="206" w:lineRule="exact"/>
        <w:ind w:left="880"/>
      </w:pPr>
    </w:p>
    <w:p w14:paraId="7F3DB4E3" w14:textId="64CB2718" w:rsidR="00BE722B" w:rsidRPr="00306C9F" w:rsidRDefault="00BE722B">
      <w:pPr>
        <w:pStyle w:val="BodyText"/>
        <w:spacing w:before="1"/>
        <w:rPr>
          <w:sz w:val="22"/>
          <w:szCs w:val="22"/>
        </w:rPr>
      </w:pPr>
    </w:p>
    <w:tbl>
      <w:tblPr>
        <w:tblStyle w:val="GridTable1Light-Accent11"/>
        <w:tblW w:w="0" w:type="auto"/>
        <w:tblLayout w:type="fixed"/>
        <w:tblLook w:val="06A0" w:firstRow="1" w:lastRow="0" w:firstColumn="1" w:lastColumn="0" w:noHBand="1" w:noVBand="1"/>
      </w:tblPr>
      <w:tblGrid>
        <w:gridCol w:w="4338"/>
        <w:gridCol w:w="2520"/>
        <w:gridCol w:w="2700"/>
      </w:tblGrid>
      <w:tr w:rsidR="00627DBA" w:rsidRPr="00306C9F" w14:paraId="139963CF" w14:textId="77777777" w:rsidTr="003C5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4B8346B1" w14:textId="77777777" w:rsidR="00627DBA" w:rsidRPr="00306C9F" w:rsidRDefault="00627DBA" w:rsidP="003C5D69">
            <w:pPr>
              <w:rPr>
                <w:sz w:val="22"/>
                <w:szCs w:val="22"/>
              </w:rPr>
            </w:pPr>
            <w:r w:rsidRPr="00306C9F">
              <w:rPr>
                <w:sz w:val="22"/>
                <w:szCs w:val="22"/>
              </w:rPr>
              <w:t>NMSU Police Department:</w:t>
            </w:r>
          </w:p>
        </w:tc>
        <w:tc>
          <w:tcPr>
            <w:tcW w:w="2520" w:type="dxa"/>
          </w:tcPr>
          <w:p w14:paraId="063BE0E0" w14:textId="77777777" w:rsidR="00627DBA" w:rsidRPr="00306C9F" w:rsidRDefault="00627DBA" w:rsidP="003C5D69">
            <w:pPr>
              <w:cnfStyle w:val="100000000000" w:firstRow="1" w:lastRow="0" w:firstColumn="0" w:lastColumn="0" w:oddVBand="0" w:evenVBand="0" w:oddHBand="0" w:evenHBand="0" w:firstRowFirstColumn="0" w:firstRowLastColumn="0" w:lastRowFirstColumn="0" w:lastRowLastColumn="0"/>
              <w:rPr>
                <w:sz w:val="22"/>
                <w:szCs w:val="22"/>
              </w:rPr>
            </w:pPr>
            <w:r w:rsidRPr="00306C9F">
              <w:rPr>
                <w:sz w:val="22"/>
                <w:szCs w:val="22"/>
              </w:rPr>
              <w:t>(575) 646-3311</w:t>
            </w:r>
          </w:p>
        </w:tc>
        <w:tc>
          <w:tcPr>
            <w:tcW w:w="2700" w:type="dxa"/>
          </w:tcPr>
          <w:p w14:paraId="422EAC6B" w14:textId="77777777" w:rsidR="00627DBA" w:rsidRPr="00306C9F" w:rsidRDefault="00660D56" w:rsidP="003C5D69">
            <w:pPr>
              <w:cnfStyle w:val="100000000000" w:firstRow="1" w:lastRow="0" w:firstColumn="0" w:lastColumn="0" w:oddVBand="0" w:evenVBand="0" w:oddHBand="0" w:evenHBand="0" w:firstRowFirstColumn="0" w:firstRowLastColumn="0" w:lastRowFirstColumn="0" w:lastRowLastColumn="0"/>
              <w:rPr>
                <w:rStyle w:val="Hyperlink"/>
                <w:sz w:val="22"/>
                <w:szCs w:val="22"/>
              </w:rPr>
            </w:pPr>
            <w:hyperlink r:id="rId13">
              <w:r w:rsidR="00627DBA" w:rsidRPr="00306C9F">
                <w:rPr>
                  <w:rStyle w:val="Hyperlink"/>
                  <w:sz w:val="22"/>
                  <w:szCs w:val="22"/>
                </w:rPr>
                <w:t>www.nmsupolice.com</w:t>
              </w:r>
            </w:hyperlink>
          </w:p>
        </w:tc>
      </w:tr>
      <w:tr w:rsidR="00627DBA" w:rsidRPr="00306C9F" w14:paraId="5A21F052" w14:textId="77777777" w:rsidTr="003C5D69">
        <w:tc>
          <w:tcPr>
            <w:cnfStyle w:val="001000000000" w:firstRow="0" w:lastRow="0" w:firstColumn="1" w:lastColumn="0" w:oddVBand="0" w:evenVBand="0" w:oddHBand="0" w:evenHBand="0" w:firstRowFirstColumn="0" w:firstRowLastColumn="0" w:lastRowFirstColumn="0" w:lastRowLastColumn="0"/>
            <w:tcW w:w="4338" w:type="dxa"/>
          </w:tcPr>
          <w:p w14:paraId="7E96B4FE" w14:textId="77777777" w:rsidR="00627DBA" w:rsidRPr="00306C9F" w:rsidRDefault="00627DBA" w:rsidP="003C5D69">
            <w:pPr>
              <w:rPr>
                <w:sz w:val="22"/>
                <w:szCs w:val="22"/>
              </w:rPr>
            </w:pPr>
            <w:r w:rsidRPr="00306C9F">
              <w:rPr>
                <w:sz w:val="22"/>
                <w:szCs w:val="22"/>
              </w:rPr>
              <w:t>NMSU Police Victim Services:</w:t>
            </w:r>
          </w:p>
        </w:tc>
        <w:tc>
          <w:tcPr>
            <w:tcW w:w="2520" w:type="dxa"/>
          </w:tcPr>
          <w:p w14:paraId="76AA6856" w14:textId="77777777" w:rsidR="00627DBA" w:rsidRPr="00306C9F" w:rsidRDefault="00627DBA" w:rsidP="003C5D69">
            <w:pPr>
              <w:cnfStyle w:val="000000000000" w:firstRow="0" w:lastRow="0" w:firstColumn="0" w:lastColumn="0" w:oddVBand="0" w:evenVBand="0" w:oddHBand="0" w:evenHBand="0" w:firstRowFirstColumn="0" w:firstRowLastColumn="0" w:lastRowFirstColumn="0" w:lastRowLastColumn="0"/>
              <w:rPr>
                <w:sz w:val="22"/>
                <w:szCs w:val="22"/>
              </w:rPr>
            </w:pPr>
            <w:r w:rsidRPr="00306C9F">
              <w:rPr>
                <w:sz w:val="22"/>
                <w:szCs w:val="22"/>
              </w:rPr>
              <w:t>(575) 646-3424</w:t>
            </w:r>
          </w:p>
        </w:tc>
        <w:tc>
          <w:tcPr>
            <w:tcW w:w="2700" w:type="dxa"/>
          </w:tcPr>
          <w:p w14:paraId="02719306" w14:textId="77777777" w:rsidR="00627DBA" w:rsidRPr="00306C9F" w:rsidRDefault="00627DBA" w:rsidP="003C5D69">
            <w:pPr>
              <w:cnfStyle w:val="000000000000" w:firstRow="0" w:lastRow="0" w:firstColumn="0" w:lastColumn="0" w:oddVBand="0" w:evenVBand="0" w:oddHBand="0" w:evenHBand="0" w:firstRowFirstColumn="0" w:firstRowLastColumn="0" w:lastRowFirstColumn="0" w:lastRowLastColumn="0"/>
              <w:rPr>
                <w:sz w:val="22"/>
                <w:szCs w:val="22"/>
              </w:rPr>
            </w:pPr>
            <w:r w:rsidRPr="00306C9F">
              <w:rPr>
                <w:sz w:val="22"/>
                <w:szCs w:val="22"/>
              </w:rPr>
              <w:t xml:space="preserve"> </w:t>
            </w:r>
          </w:p>
        </w:tc>
      </w:tr>
      <w:tr w:rsidR="00627DBA" w:rsidRPr="00306C9F" w14:paraId="26D405D9" w14:textId="77777777" w:rsidTr="003C5D69">
        <w:tc>
          <w:tcPr>
            <w:cnfStyle w:val="001000000000" w:firstRow="0" w:lastRow="0" w:firstColumn="1" w:lastColumn="0" w:oddVBand="0" w:evenVBand="0" w:oddHBand="0" w:evenHBand="0" w:firstRowFirstColumn="0" w:firstRowLastColumn="0" w:lastRowFirstColumn="0" w:lastRowLastColumn="0"/>
            <w:tcW w:w="4338" w:type="dxa"/>
          </w:tcPr>
          <w:p w14:paraId="630D5AE6" w14:textId="77777777" w:rsidR="00627DBA" w:rsidRPr="00306C9F" w:rsidRDefault="00627DBA" w:rsidP="003C5D69">
            <w:pPr>
              <w:rPr>
                <w:sz w:val="22"/>
                <w:szCs w:val="22"/>
              </w:rPr>
            </w:pPr>
            <w:r w:rsidRPr="00306C9F">
              <w:rPr>
                <w:sz w:val="22"/>
                <w:szCs w:val="22"/>
              </w:rPr>
              <w:t>NMSU Counseling Center:</w:t>
            </w:r>
          </w:p>
        </w:tc>
        <w:tc>
          <w:tcPr>
            <w:tcW w:w="2520" w:type="dxa"/>
          </w:tcPr>
          <w:p w14:paraId="1265039F" w14:textId="77777777" w:rsidR="00627DBA" w:rsidRPr="00306C9F" w:rsidRDefault="00627DBA" w:rsidP="003C5D69">
            <w:pPr>
              <w:cnfStyle w:val="000000000000" w:firstRow="0" w:lastRow="0" w:firstColumn="0" w:lastColumn="0" w:oddVBand="0" w:evenVBand="0" w:oddHBand="0" w:evenHBand="0" w:firstRowFirstColumn="0" w:firstRowLastColumn="0" w:lastRowFirstColumn="0" w:lastRowLastColumn="0"/>
              <w:rPr>
                <w:sz w:val="22"/>
                <w:szCs w:val="22"/>
              </w:rPr>
            </w:pPr>
            <w:r w:rsidRPr="00306C9F">
              <w:rPr>
                <w:sz w:val="22"/>
                <w:szCs w:val="22"/>
              </w:rPr>
              <w:t>(575) 646-2731</w:t>
            </w:r>
          </w:p>
        </w:tc>
        <w:tc>
          <w:tcPr>
            <w:tcW w:w="2700" w:type="dxa"/>
          </w:tcPr>
          <w:p w14:paraId="4848AAFA" w14:textId="77777777" w:rsidR="00627DBA" w:rsidRPr="00306C9F" w:rsidRDefault="00627DBA" w:rsidP="003C5D69">
            <w:pPr>
              <w:cnfStyle w:val="000000000000" w:firstRow="0" w:lastRow="0" w:firstColumn="0" w:lastColumn="0" w:oddVBand="0" w:evenVBand="0" w:oddHBand="0" w:evenHBand="0" w:firstRowFirstColumn="0" w:firstRowLastColumn="0" w:lastRowFirstColumn="0" w:lastRowLastColumn="0"/>
              <w:rPr>
                <w:sz w:val="22"/>
                <w:szCs w:val="22"/>
              </w:rPr>
            </w:pPr>
            <w:r w:rsidRPr="00306C9F">
              <w:rPr>
                <w:sz w:val="22"/>
                <w:szCs w:val="22"/>
              </w:rPr>
              <w:t xml:space="preserve"> </w:t>
            </w:r>
          </w:p>
        </w:tc>
      </w:tr>
      <w:tr w:rsidR="00627DBA" w:rsidRPr="00306C9F" w14:paraId="3B29ADA6" w14:textId="77777777" w:rsidTr="003C5D69">
        <w:tc>
          <w:tcPr>
            <w:cnfStyle w:val="001000000000" w:firstRow="0" w:lastRow="0" w:firstColumn="1" w:lastColumn="0" w:oddVBand="0" w:evenVBand="0" w:oddHBand="0" w:evenHBand="0" w:firstRowFirstColumn="0" w:firstRowLastColumn="0" w:lastRowFirstColumn="0" w:lastRowLastColumn="0"/>
            <w:tcW w:w="4338" w:type="dxa"/>
          </w:tcPr>
          <w:p w14:paraId="2EF1252F" w14:textId="77777777" w:rsidR="00627DBA" w:rsidRPr="00306C9F" w:rsidRDefault="00627DBA" w:rsidP="003C5D69">
            <w:pPr>
              <w:rPr>
                <w:sz w:val="22"/>
                <w:szCs w:val="22"/>
              </w:rPr>
            </w:pPr>
            <w:r w:rsidRPr="00306C9F">
              <w:rPr>
                <w:sz w:val="22"/>
                <w:szCs w:val="22"/>
              </w:rPr>
              <w:t>NMSU Dean of Students:</w:t>
            </w:r>
          </w:p>
        </w:tc>
        <w:tc>
          <w:tcPr>
            <w:tcW w:w="2520" w:type="dxa"/>
          </w:tcPr>
          <w:p w14:paraId="742C3D42" w14:textId="77777777" w:rsidR="00627DBA" w:rsidRPr="00306C9F" w:rsidRDefault="00627DBA" w:rsidP="003C5D69">
            <w:pPr>
              <w:cnfStyle w:val="000000000000" w:firstRow="0" w:lastRow="0" w:firstColumn="0" w:lastColumn="0" w:oddVBand="0" w:evenVBand="0" w:oddHBand="0" w:evenHBand="0" w:firstRowFirstColumn="0" w:firstRowLastColumn="0" w:lastRowFirstColumn="0" w:lastRowLastColumn="0"/>
              <w:rPr>
                <w:sz w:val="22"/>
                <w:szCs w:val="22"/>
              </w:rPr>
            </w:pPr>
            <w:r w:rsidRPr="00306C9F">
              <w:rPr>
                <w:sz w:val="22"/>
                <w:szCs w:val="22"/>
              </w:rPr>
              <w:t>(575) 646-1722</w:t>
            </w:r>
          </w:p>
        </w:tc>
        <w:tc>
          <w:tcPr>
            <w:tcW w:w="2700" w:type="dxa"/>
          </w:tcPr>
          <w:p w14:paraId="60370E3A" w14:textId="77777777" w:rsidR="00627DBA" w:rsidRPr="00306C9F" w:rsidRDefault="00627DBA" w:rsidP="003C5D69">
            <w:pPr>
              <w:cnfStyle w:val="000000000000" w:firstRow="0" w:lastRow="0" w:firstColumn="0" w:lastColumn="0" w:oddVBand="0" w:evenVBand="0" w:oddHBand="0" w:evenHBand="0" w:firstRowFirstColumn="0" w:firstRowLastColumn="0" w:lastRowFirstColumn="0" w:lastRowLastColumn="0"/>
              <w:rPr>
                <w:sz w:val="22"/>
                <w:szCs w:val="22"/>
              </w:rPr>
            </w:pPr>
            <w:r w:rsidRPr="00306C9F">
              <w:rPr>
                <w:sz w:val="22"/>
                <w:szCs w:val="22"/>
              </w:rPr>
              <w:t xml:space="preserve"> </w:t>
            </w:r>
          </w:p>
        </w:tc>
      </w:tr>
      <w:tr w:rsidR="00627DBA" w:rsidRPr="00306C9F" w14:paraId="7D7D70A5" w14:textId="77777777" w:rsidTr="003C5D69">
        <w:tc>
          <w:tcPr>
            <w:cnfStyle w:val="001000000000" w:firstRow="0" w:lastRow="0" w:firstColumn="1" w:lastColumn="0" w:oddVBand="0" w:evenVBand="0" w:oddHBand="0" w:evenHBand="0" w:firstRowFirstColumn="0" w:firstRowLastColumn="0" w:lastRowFirstColumn="0" w:lastRowLastColumn="0"/>
            <w:tcW w:w="4338" w:type="dxa"/>
          </w:tcPr>
          <w:p w14:paraId="48F78655" w14:textId="77777777" w:rsidR="00627DBA" w:rsidRPr="00306C9F" w:rsidRDefault="00627DBA" w:rsidP="003C5D69">
            <w:pPr>
              <w:rPr>
                <w:sz w:val="22"/>
                <w:szCs w:val="22"/>
              </w:rPr>
            </w:pPr>
            <w:r w:rsidRPr="00306C9F">
              <w:rPr>
                <w:sz w:val="22"/>
                <w:szCs w:val="22"/>
              </w:rPr>
              <w:t>For Any On-campus Emergencies:</w:t>
            </w:r>
          </w:p>
        </w:tc>
        <w:tc>
          <w:tcPr>
            <w:tcW w:w="2520" w:type="dxa"/>
          </w:tcPr>
          <w:p w14:paraId="5AE93A3A" w14:textId="77777777" w:rsidR="00627DBA" w:rsidRPr="00306C9F" w:rsidRDefault="00627DBA" w:rsidP="003C5D69">
            <w:pPr>
              <w:cnfStyle w:val="000000000000" w:firstRow="0" w:lastRow="0" w:firstColumn="0" w:lastColumn="0" w:oddVBand="0" w:evenVBand="0" w:oddHBand="0" w:evenHBand="0" w:firstRowFirstColumn="0" w:firstRowLastColumn="0" w:lastRowFirstColumn="0" w:lastRowLastColumn="0"/>
              <w:rPr>
                <w:sz w:val="22"/>
                <w:szCs w:val="22"/>
              </w:rPr>
            </w:pPr>
            <w:r w:rsidRPr="00306C9F">
              <w:rPr>
                <w:sz w:val="22"/>
                <w:szCs w:val="22"/>
              </w:rPr>
              <w:t>911</w:t>
            </w:r>
          </w:p>
        </w:tc>
        <w:tc>
          <w:tcPr>
            <w:tcW w:w="2700" w:type="dxa"/>
          </w:tcPr>
          <w:p w14:paraId="406BAA9F" w14:textId="77777777" w:rsidR="00627DBA" w:rsidRPr="00306C9F" w:rsidRDefault="00627DBA" w:rsidP="003C5D69">
            <w:pPr>
              <w:cnfStyle w:val="000000000000" w:firstRow="0" w:lastRow="0" w:firstColumn="0" w:lastColumn="0" w:oddVBand="0" w:evenVBand="0" w:oddHBand="0" w:evenHBand="0" w:firstRowFirstColumn="0" w:firstRowLastColumn="0" w:lastRowFirstColumn="0" w:lastRowLastColumn="0"/>
              <w:rPr>
                <w:sz w:val="22"/>
                <w:szCs w:val="22"/>
              </w:rPr>
            </w:pPr>
            <w:r w:rsidRPr="00306C9F">
              <w:rPr>
                <w:sz w:val="22"/>
                <w:szCs w:val="22"/>
              </w:rPr>
              <w:t xml:space="preserve"> </w:t>
            </w:r>
          </w:p>
        </w:tc>
      </w:tr>
    </w:tbl>
    <w:p w14:paraId="60A7C0C6" w14:textId="1E9B4BD7" w:rsidR="00627DBA" w:rsidRPr="00306C9F" w:rsidRDefault="00627DBA">
      <w:pPr>
        <w:pStyle w:val="BodyText"/>
        <w:spacing w:before="1"/>
        <w:rPr>
          <w:sz w:val="22"/>
          <w:szCs w:val="22"/>
        </w:rPr>
      </w:pPr>
    </w:p>
    <w:p w14:paraId="7CEB976D" w14:textId="1FCA3E36" w:rsidR="00BE722B" w:rsidRPr="00306C9F" w:rsidRDefault="0017755A">
      <w:pPr>
        <w:spacing w:before="7"/>
        <w:ind w:left="160"/>
        <w:rPr>
          <w:b/>
        </w:rPr>
      </w:pPr>
      <w:r w:rsidRPr="00306C9F">
        <w:rPr>
          <w:b/>
        </w:rPr>
        <w:t>The Instructor of Record reserved the right to make announced</w:t>
      </w:r>
      <w:r w:rsidR="001D51B4" w:rsidRPr="00306C9F">
        <w:rPr>
          <w:b/>
        </w:rPr>
        <w:t xml:space="preserve"> </w:t>
      </w:r>
      <w:r w:rsidRPr="00306C9F">
        <w:rPr>
          <w:b/>
        </w:rPr>
        <w:t>change</w:t>
      </w:r>
      <w:r w:rsidR="001D51B4" w:rsidRPr="00306C9F">
        <w:rPr>
          <w:b/>
        </w:rPr>
        <w:t>s</w:t>
      </w:r>
      <w:r w:rsidRPr="00306C9F">
        <w:rPr>
          <w:b/>
        </w:rPr>
        <w:t xml:space="preserve"> in the syllabus; as feasible, changes will be made with student input.</w:t>
      </w:r>
    </w:p>
    <w:p w14:paraId="2CC16493" w14:textId="123C35C5" w:rsidR="00C00F7F" w:rsidRPr="00306C9F" w:rsidRDefault="00C00F7F">
      <w:pPr>
        <w:spacing w:before="7"/>
        <w:ind w:left="160"/>
        <w:rPr>
          <w:b/>
        </w:rPr>
      </w:pPr>
    </w:p>
    <w:p w14:paraId="0D9805CB" w14:textId="77777777" w:rsidR="00C00F7F" w:rsidRPr="00306C9F" w:rsidRDefault="00C00F7F" w:rsidP="00C00F7F">
      <w:pPr>
        <w:pStyle w:val="Heading3"/>
        <w:rPr>
          <w:rFonts w:ascii="Times New Roman" w:hAnsi="Times New Roman" w:cs="Times New Roman"/>
          <w:sz w:val="22"/>
          <w:szCs w:val="22"/>
        </w:rPr>
      </w:pPr>
      <w:r w:rsidRPr="00306C9F">
        <w:rPr>
          <w:rFonts w:ascii="Times New Roman" w:hAnsi="Times New Roman" w:cs="Times New Roman"/>
          <w:sz w:val="22"/>
          <w:szCs w:val="22"/>
        </w:rPr>
        <w:t>Academic Resources</w:t>
      </w:r>
    </w:p>
    <w:p w14:paraId="1C22E73C" w14:textId="77777777" w:rsidR="00C00F7F" w:rsidRPr="00306C9F" w:rsidRDefault="00C00F7F" w:rsidP="00C00F7F">
      <w:r w:rsidRPr="00306C9F">
        <w:t xml:space="preserve">NMSU provides students with academic resources such as tutoring, final exam schedules, library and research, and transcript information on the </w:t>
      </w:r>
      <w:hyperlink r:id="rId14">
        <w:r w:rsidRPr="00306C9F">
          <w:rPr>
            <w:rStyle w:val="Hyperlink"/>
          </w:rPr>
          <w:t>NMSU Current Student</w:t>
        </w:r>
      </w:hyperlink>
      <w:r w:rsidRPr="00306C9F">
        <w:t xml:space="preserve"> webpage.</w:t>
      </w:r>
    </w:p>
    <w:p w14:paraId="020D9BE7" w14:textId="77777777" w:rsidR="00C00F7F" w:rsidRPr="00306C9F" w:rsidRDefault="00C00F7F" w:rsidP="00C00F7F"/>
    <w:p w14:paraId="5F229BBF" w14:textId="77777777" w:rsidR="00C00F7F" w:rsidRPr="00306C9F" w:rsidRDefault="00C00F7F" w:rsidP="00C00F7F">
      <w:pPr>
        <w:pStyle w:val="Heading3"/>
        <w:rPr>
          <w:rFonts w:ascii="Times New Roman" w:hAnsi="Times New Roman" w:cs="Times New Roman"/>
          <w:sz w:val="22"/>
          <w:szCs w:val="22"/>
        </w:rPr>
      </w:pPr>
      <w:r w:rsidRPr="00306C9F">
        <w:rPr>
          <w:rFonts w:ascii="Times New Roman" w:hAnsi="Times New Roman" w:cs="Times New Roman"/>
          <w:sz w:val="22"/>
          <w:szCs w:val="22"/>
        </w:rPr>
        <w:t>Student Support Services</w:t>
      </w:r>
    </w:p>
    <w:p w14:paraId="4DBDDC62" w14:textId="77777777" w:rsidR="00C00F7F" w:rsidRPr="00306C9F" w:rsidRDefault="00C00F7F" w:rsidP="00C00F7F">
      <w:r w:rsidRPr="00306C9F">
        <w:t xml:space="preserve">Find information and support on advising, registration, and financial aid on </w:t>
      </w:r>
      <w:hyperlink r:id="rId15">
        <w:r w:rsidRPr="00306C9F">
          <w:rPr>
            <w:rStyle w:val="Hyperlink"/>
          </w:rPr>
          <w:t>NMSU Current Student</w:t>
        </w:r>
      </w:hyperlink>
      <w:r w:rsidRPr="00306C9F">
        <w:t xml:space="preserve"> webpage. You will also find links to the academic calendar, Student Affairs, the student handbook, and </w:t>
      </w:r>
      <w:r w:rsidRPr="00306C9F">
        <w:lastRenderedPageBreak/>
        <w:t>Student technologies on this page.</w:t>
      </w:r>
    </w:p>
    <w:p w14:paraId="07BC7EF6" w14:textId="77777777" w:rsidR="00C00F7F" w:rsidRPr="00306C9F" w:rsidRDefault="00C00F7F" w:rsidP="00C00F7F"/>
    <w:p w14:paraId="655F514C" w14:textId="77777777" w:rsidR="00C00F7F" w:rsidRPr="00306C9F" w:rsidRDefault="00C00F7F" w:rsidP="00C00F7F">
      <w:pPr>
        <w:pStyle w:val="Heading3"/>
        <w:rPr>
          <w:rFonts w:ascii="Times New Roman" w:hAnsi="Times New Roman" w:cs="Times New Roman"/>
          <w:sz w:val="22"/>
          <w:szCs w:val="22"/>
        </w:rPr>
      </w:pPr>
      <w:r w:rsidRPr="00306C9F">
        <w:rPr>
          <w:rFonts w:ascii="Times New Roman" w:hAnsi="Times New Roman" w:cs="Times New Roman"/>
          <w:sz w:val="22"/>
          <w:szCs w:val="22"/>
        </w:rPr>
        <w:t xml:space="preserve">Technical Support </w:t>
      </w:r>
    </w:p>
    <w:p w14:paraId="14BEB7B7" w14:textId="77777777" w:rsidR="00C00F7F" w:rsidRPr="00306C9F" w:rsidRDefault="00C00F7F" w:rsidP="00C00F7F">
      <w:r w:rsidRPr="00306C9F">
        <w:t xml:space="preserve">The ICT Customer Service Center is equipped to deal with </w:t>
      </w:r>
      <w:proofErr w:type="gramStart"/>
      <w:r w:rsidRPr="00306C9F">
        <w:t>all of</w:t>
      </w:r>
      <w:proofErr w:type="gramEnd"/>
      <w:r w:rsidRPr="00306C9F">
        <w:t xml:space="preserve"> your information technology (IT) and telecommunications needs at NMSU. Please feel free to contact them at (575) 646-1840 or via email at </w:t>
      </w:r>
      <w:hyperlink r:id="rId16">
        <w:r w:rsidRPr="00306C9F">
          <w:rPr>
            <w:rStyle w:val="Hyperlink"/>
          </w:rPr>
          <w:t>helpdesk@nmsu.edu</w:t>
        </w:r>
      </w:hyperlink>
      <w:r w:rsidRPr="00306C9F">
        <w:t xml:space="preserve">. You can also go to the Student Technology Help </w:t>
      </w:r>
      <w:hyperlink r:id="rId17">
        <w:r w:rsidRPr="00306C9F">
          <w:rPr>
            <w:rStyle w:val="Hyperlink"/>
          </w:rPr>
          <w:t>Student Technology Help</w:t>
        </w:r>
      </w:hyperlink>
      <w:r w:rsidRPr="00306C9F">
        <w:t xml:space="preserve"> web page and</w:t>
      </w:r>
      <w:hyperlink r:id="rId18">
        <w:r w:rsidRPr="00306C9F">
          <w:t xml:space="preserve"> </w:t>
        </w:r>
        <w:r w:rsidRPr="00306C9F">
          <w:rPr>
            <w:rStyle w:val="Hyperlink"/>
          </w:rPr>
          <w:t>Student Resources</w:t>
        </w:r>
      </w:hyperlink>
      <w:r w:rsidRPr="00306C9F">
        <w:t xml:space="preserve"> located at the</w:t>
      </w:r>
      <w:hyperlink r:id="rId19">
        <w:r w:rsidRPr="00306C9F">
          <w:t xml:space="preserve"> Canvas</w:t>
        </w:r>
      </w:hyperlink>
      <w:r w:rsidRPr="00306C9F">
        <w:t xml:space="preserve"> web page for additional information on Canvas.</w:t>
      </w:r>
    </w:p>
    <w:p w14:paraId="739A988E" w14:textId="77777777" w:rsidR="00C00F7F" w:rsidRPr="00306C9F" w:rsidRDefault="00C00F7F" w:rsidP="00C00F7F">
      <w:pPr>
        <w:tabs>
          <w:tab w:val="left" w:pos="-1152"/>
          <w:tab w:val="left" w:pos="-432"/>
          <w:tab w:val="left" w:pos="0"/>
          <w:tab w:val="left" w:pos="739"/>
          <w:tab w:val="left" w:pos="1372"/>
          <w:tab w:val="left" w:pos="5724"/>
          <w:tab w:val="left" w:pos="8032"/>
        </w:tabs>
        <w:jc w:val="both"/>
        <w:rPr>
          <w:b/>
          <w:color w:val="333333"/>
        </w:rPr>
      </w:pPr>
    </w:p>
    <w:p w14:paraId="0CDB7ED1" w14:textId="77777777" w:rsidR="00C00F7F" w:rsidRPr="00306C9F" w:rsidRDefault="00C00F7F" w:rsidP="00C00F7F">
      <w:pPr>
        <w:tabs>
          <w:tab w:val="left" w:pos="-1152"/>
          <w:tab w:val="left" w:pos="-432"/>
          <w:tab w:val="left" w:pos="0"/>
          <w:tab w:val="left" w:pos="739"/>
          <w:tab w:val="left" w:pos="1372"/>
          <w:tab w:val="left" w:pos="5724"/>
          <w:tab w:val="left" w:pos="8032"/>
        </w:tabs>
        <w:jc w:val="both"/>
        <w:rPr>
          <w:color w:val="333333"/>
        </w:rPr>
      </w:pPr>
      <w:r w:rsidRPr="00306C9F">
        <w:rPr>
          <w:b/>
          <w:color w:val="333333"/>
        </w:rPr>
        <w:t>Dispositions:</w:t>
      </w:r>
      <w:r w:rsidRPr="00306C9F">
        <w:rPr>
          <w:color w:val="333333"/>
        </w:rPr>
        <w:t xml:space="preserve"> The disposition of </w:t>
      </w:r>
      <w:r w:rsidRPr="00306C9F">
        <w:rPr>
          <w:b/>
          <w:i/>
          <w:color w:val="333333"/>
        </w:rPr>
        <w:t>Professionalism</w:t>
      </w:r>
      <w:r w:rsidRPr="00306C9F">
        <w:rPr>
          <w:color w:val="333333"/>
        </w:rPr>
        <w:t xml:space="preserve"> will be assessed in this class. Professionalism is assessed by examining your conduct as a student both in your interactions with the instructor as well as other students. Students who show impairment in this regard may be assessed as deficient. Students who exhibit exemplary conduct will be assessed as such on this dimension.  </w:t>
      </w:r>
    </w:p>
    <w:p w14:paraId="5B9CDBE2" w14:textId="77777777" w:rsidR="00C00F7F" w:rsidRPr="00306C9F" w:rsidRDefault="00C00F7F" w:rsidP="00C00F7F">
      <w:pPr>
        <w:tabs>
          <w:tab w:val="left" w:pos="-1152"/>
          <w:tab w:val="left" w:pos="-432"/>
          <w:tab w:val="left" w:pos="0"/>
          <w:tab w:val="left" w:pos="739"/>
          <w:tab w:val="left" w:pos="1372"/>
          <w:tab w:val="left" w:pos="5724"/>
          <w:tab w:val="left" w:pos="8032"/>
        </w:tabs>
        <w:jc w:val="both"/>
        <w:rPr>
          <w:color w:val="333333"/>
        </w:rPr>
      </w:pPr>
    </w:p>
    <w:p w14:paraId="7BC5E3F7" w14:textId="25F35EEB" w:rsidR="00C00F7F" w:rsidRPr="00CC1550" w:rsidRDefault="00C00F7F" w:rsidP="00CC1550">
      <w:pPr>
        <w:tabs>
          <w:tab w:val="left" w:pos="-1152"/>
          <w:tab w:val="left" w:pos="-432"/>
          <w:tab w:val="left" w:pos="0"/>
          <w:tab w:val="left" w:pos="739"/>
          <w:tab w:val="left" w:pos="1372"/>
          <w:tab w:val="left" w:pos="5724"/>
          <w:tab w:val="left" w:pos="8032"/>
        </w:tabs>
        <w:jc w:val="both"/>
        <w:rPr>
          <w:color w:val="333333"/>
        </w:rPr>
      </w:pPr>
      <w:r w:rsidRPr="00306C9F">
        <w:rPr>
          <w:b/>
          <w:color w:val="333333"/>
        </w:rPr>
        <w:t>Diversity:</w:t>
      </w:r>
      <w:r w:rsidRPr="00306C9F">
        <w:rPr>
          <w:color w:val="333333"/>
        </w:rPr>
        <w:t xml:space="preserve">  Your program is committed to issues of diversity including, but not limited to, race, gender, sexual orientation, social class, ethnicity, ability status.  This class is designed to facilitate your development as a culturally competent professional; able to work effectively with diverse clients and communities.</w:t>
      </w:r>
    </w:p>
    <w:p w14:paraId="71C766D9" w14:textId="77777777" w:rsidR="00C00F7F" w:rsidRPr="00306C9F" w:rsidRDefault="00C00F7F" w:rsidP="00C00F7F">
      <w:pPr>
        <w:pStyle w:val="NormalWeb"/>
        <w:rPr>
          <w:b/>
          <w:bCs/>
          <w:i/>
          <w:iCs/>
          <w:color w:val="212121"/>
          <w:sz w:val="22"/>
          <w:szCs w:val="22"/>
        </w:rPr>
      </w:pPr>
    </w:p>
    <w:p w14:paraId="09C1973C" w14:textId="77777777" w:rsidR="00C00F7F" w:rsidRPr="00306C9F" w:rsidRDefault="00C00F7F" w:rsidP="00C00F7F">
      <w:pPr>
        <w:pStyle w:val="NormalWeb"/>
        <w:rPr>
          <w:i/>
          <w:iCs/>
          <w:color w:val="212121"/>
          <w:sz w:val="22"/>
          <w:szCs w:val="22"/>
        </w:rPr>
      </w:pPr>
      <w:r w:rsidRPr="00306C9F">
        <w:rPr>
          <w:b/>
          <w:bCs/>
          <w:i/>
          <w:iCs/>
          <w:color w:val="212121"/>
          <w:sz w:val="22"/>
          <w:szCs w:val="22"/>
        </w:rPr>
        <w:t>Student complaints:</w:t>
      </w:r>
      <w:r w:rsidRPr="00306C9F">
        <w:rPr>
          <w:i/>
          <w:iCs/>
          <w:color w:val="212121"/>
          <w:sz w:val="22"/>
          <w:szCs w:val="22"/>
        </w:rPr>
        <w:t xml:space="preserve"> If students have a complaint about a course, they are advised to discuss their concerns directly with the instructor whenever possible. If that does not resolve the problem or if they cannot approach the Instructor, students should either access NMSU’s online complaint system at </w:t>
      </w:r>
      <w:hyperlink r:id="rId20" w:tgtFrame="_blank" w:history="1">
        <w:r w:rsidRPr="00306C9F">
          <w:rPr>
            <w:rStyle w:val="Hyperlink"/>
            <w:i/>
            <w:iCs/>
            <w:sz w:val="22"/>
            <w:szCs w:val="22"/>
          </w:rPr>
          <w:t>https://dos.nmsu.edu/concerns/</w:t>
        </w:r>
      </w:hyperlink>
      <w:r w:rsidRPr="00306C9F">
        <w:rPr>
          <w:i/>
          <w:iCs/>
          <w:color w:val="212121"/>
          <w:sz w:val="22"/>
          <w:szCs w:val="22"/>
        </w:rPr>
        <w:t xml:space="preserve"> or seek out the department head, Dr. Phillip Post, (</w:t>
      </w:r>
      <w:hyperlink r:id="rId21" w:history="1">
        <w:r w:rsidRPr="00306C9F">
          <w:rPr>
            <w:rStyle w:val="Hyperlink"/>
            <w:sz w:val="22"/>
            <w:szCs w:val="22"/>
          </w:rPr>
          <w:t>ppost@ad.nmsu.edu</w:t>
        </w:r>
      </w:hyperlink>
      <w:r w:rsidRPr="00306C9F">
        <w:rPr>
          <w:i/>
          <w:iCs/>
          <w:color w:val="212121"/>
          <w:sz w:val="22"/>
          <w:szCs w:val="22"/>
        </w:rPr>
        <w:t xml:space="preserve">) for help resolving the problem. </w:t>
      </w:r>
      <w:proofErr w:type="gramStart"/>
      <w:r w:rsidRPr="00306C9F">
        <w:rPr>
          <w:i/>
          <w:iCs/>
          <w:color w:val="212121"/>
          <w:sz w:val="22"/>
          <w:szCs w:val="22"/>
        </w:rPr>
        <w:t>Both of these</w:t>
      </w:r>
      <w:proofErr w:type="gramEnd"/>
      <w:r w:rsidRPr="00306C9F">
        <w:rPr>
          <w:i/>
          <w:iCs/>
          <w:color w:val="212121"/>
          <w:sz w:val="22"/>
          <w:szCs w:val="22"/>
        </w:rPr>
        <w:t xml:space="preserve"> processes provide opportunities for the department head to know about issues that need attention and for </w:t>
      </w:r>
      <w:r w:rsidRPr="00306C9F">
        <w:rPr>
          <w:rStyle w:val="highlight"/>
          <w:i/>
          <w:iCs/>
          <w:color w:val="212121"/>
          <w:sz w:val="22"/>
          <w:szCs w:val="22"/>
          <w:shd w:val="clear" w:color="auto" w:fill="FFFFFF"/>
        </w:rPr>
        <w:t>instructors</w:t>
      </w:r>
      <w:r w:rsidRPr="00306C9F">
        <w:rPr>
          <w:i/>
          <w:iCs/>
          <w:color w:val="212121"/>
          <w:sz w:val="22"/>
          <w:szCs w:val="22"/>
        </w:rPr>
        <w:t> to receive information about student concerns so that they can respond.</w:t>
      </w:r>
    </w:p>
    <w:p w14:paraId="62D38AC6" w14:textId="77777777" w:rsidR="00C00F7F" w:rsidRPr="00306C9F" w:rsidRDefault="00C00F7F" w:rsidP="00C00F7F">
      <w:pPr>
        <w:pStyle w:val="NormalWeb"/>
        <w:rPr>
          <w:i/>
          <w:iCs/>
          <w:color w:val="212121"/>
          <w:sz w:val="22"/>
          <w:szCs w:val="22"/>
        </w:rPr>
      </w:pPr>
    </w:p>
    <w:p w14:paraId="687FADB0" w14:textId="77777777" w:rsidR="00C00F7F" w:rsidRPr="00306C9F" w:rsidRDefault="00C00F7F" w:rsidP="00C00F7F">
      <w:pPr>
        <w:pStyle w:val="Heading2"/>
        <w:rPr>
          <w:rFonts w:ascii="Times New Roman" w:eastAsia="Times New Roman" w:hAnsi="Times New Roman" w:cs="Times New Roman"/>
          <w:sz w:val="22"/>
          <w:szCs w:val="22"/>
        </w:rPr>
      </w:pPr>
      <w:r w:rsidRPr="00306C9F">
        <w:rPr>
          <w:rFonts w:ascii="Times New Roman" w:eastAsia="Times New Roman" w:hAnsi="Times New Roman" w:cs="Times New Roman"/>
          <w:sz w:val="22"/>
          <w:szCs w:val="22"/>
        </w:rPr>
        <w:t>Reporting COVID-19 at NMSU</w:t>
      </w:r>
    </w:p>
    <w:p w14:paraId="05371807" w14:textId="77777777" w:rsidR="00C00F7F" w:rsidRPr="00306C9F" w:rsidRDefault="00C00F7F" w:rsidP="00C00F7F">
      <w:pPr>
        <w:pStyle w:val="Heading3"/>
        <w:rPr>
          <w:rFonts w:ascii="Times New Roman" w:eastAsia="Times New Roman" w:hAnsi="Times New Roman" w:cs="Times New Roman"/>
          <w:sz w:val="22"/>
          <w:szCs w:val="22"/>
        </w:rPr>
      </w:pPr>
      <w:r w:rsidRPr="00306C9F">
        <w:rPr>
          <w:rFonts w:ascii="Times New Roman" w:eastAsia="Times New Roman" w:hAnsi="Times New Roman" w:cs="Times New Roman"/>
          <w:sz w:val="22"/>
          <w:szCs w:val="22"/>
        </w:rPr>
        <w:t>(Updated: 7/7/2020)</w:t>
      </w:r>
    </w:p>
    <w:p w14:paraId="2DA164EA" w14:textId="77777777" w:rsidR="00C00F7F" w:rsidRPr="00306C9F" w:rsidRDefault="00C00F7F" w:rsidP="00C00F7F">
      <w:pPr>
        <w:pStyle w:val="p1"/>
        <w:rPr>
          <w:sz w:val="22"/>
          <w:szCs w:val="22"/>
        </w:rPr>
      </w:pPr>
      <w:r w:rsidRPr="00306C9F">
        <w:rPr>
          <w:sz w:val="22"/>
          <w:szCs w:val="22"/>
        </w:rPr>
        <w:t xml:space="preserve">Any student or employee of the NMSU system or affiliated agencies who has tested positive for COVID-19 and had been on campus at any time 48 hours prior to the onset of symptoms or COVID-19 positive test must notify their supervisor and Aggie Health and Wellness Center (575-646-1512 or </w:t>
      </w:r>
      <w:hyperlink r:id="rId22" w:history="1">
        <w:r w:rsidRPr="00306C9F">
          <w:rPr>
            <w:rStyle w:val="Hyperlink"/>
            <w:sz w:val="22"/>
            <w:szCs w:val="22"/>
          </w:rPr>
          <w:t>davidcar@nmsu.edu</w:t>
        </w:r>
      </w:hyperlink>
      <w:r w:rsidRPr="00306C9F">
        <w:rPr>
          <w:sz w:val="22"/>
          <w:szCs w:val="22"/>
        </w:rPr>
        <w:t>) immediately.</w:t>
      </w:r>
    </w:p>
    <w:p w14:paraId="23A92A78" w14:textId="77777777" w:rsidR="00C00F7F" w:rsidRPr="00306C9F" w:rsidRDefault="00C00F7F" w:rsidP="00C00F7F">
      <w:pPr>
        <w:pStyle w:val="p1"/>
        <w:rPr>
          <w:sz w:val="22"/>
          <w:szCs w:val="22"/>
        </w:rPr>
      </w:pPr>
      <w:r w:rsidRPr="00306C9F">
        <w:rPr>
          <w:sz w:val="22"/>
          <w:szCs w:val="22"/>
        </w:rPr>
        <w:t xml:space="preserve">The positive individual may not come to work and must follow current CDC guidance regarding self-quarantine or self-isolation. Any individual who has tested positive for COVID-19 will need to be cleared to return by their health care provider and in accordance with CDC guidance. Any student is also strongly encouraged to report a positive test to Aggie Health and Wellness Center (575-646-1512 or </w:t>
      </w:r>
      <w:hyperlink r:id="rId23" w:history="1">
        <w:r w:rsidRPr="00306C9F">
          <w:rPr>
            <w:rStyle w:val="Hyperlink"/>
            <w:sz w:val="22"/>
            <w:szCs w:val="22"/>
          </w:rPr>
          <w:t>davidcar@nmsu.edu</w:t>
        </w:r>
      </w:hyperlink>
      <w:r w:rsidRPr="00306C9F">
        <w:rPr>
          <w:sz w:val="22"/>
          <w:szCs w:val="22"/>
        </w:rPr>
        <w:t>) immediately.</w:t>
      </w:r>
    </w:p>
    <w:p w14:paraId="2BCEFFAF" w14:textId="77777777" w:rsidR="00C00F7F" w:rsidRPr="00306C9F" w:rsidRDefault="00C00F7F" w:rsidP="00C00F7F">
      <w:pPr>
        <w:pStyle w:val="NormalWeb"/>
        <w:rPr>
          <w:sz w:val="22"/>
          <w:szCs w:val="22"/>
        </w:rPr>
      </w:pPr>
      <w:r w:rsidRPr="00306C9F">
        <w:rPr>
          <w:sz w:val="22"/>
          <w:szCs w:val="22"/>
        </w:rPr>
        <w:t>When NMSU is notified of a person with confirmed COVID-19, Aggie Health and Wellness Center (AHWC) will coordinate the </w:t>
      </w:r>
      <w:hyperlink r:id="rId24" w:history="1">
        <w:r w:rsidRPr="00306C9F">
          <w:rPr>
            <w:rStyle w:val="Strong"/>
            <w:color w:val="0000FF"/>
            <w:sz w:val="22"/>
            <w:szCs w:val="22"/>
            <w:u w:val="single"/>
          </w:rPr>
          <w:t>process </w:t>
        </w:r>
      </w:hyperlink>
      <w:r w:rsidRPr="00306C9F">
        <w:rPr>
          <w:sz w:val="22"/>
          <w:szCs w:val="22"/>
        </w:rPr>
        <w:t>to notify exposed individuals (those who have been within 6 feet for 15 minutes) and disinfect buildings. The identity of the COVID-19 positive person will not be disclosed. Supervisors of staff who may have been in the affected building (</w:t>
      </w:r>
      <w:proofErr w:type="gramStart"/>
      <w:r w:rsidRPr="00306C9F">
        <w:rPr>
          <w:sz w:val="22"/>
          <w:szCs w:val="22"/>
        </w:rPr>
        <w:t>e.g.</w:t>
      </w:r>
      <w:proofErr w:type="gramEnd"/>
      <w:r w:rsidRPr="00306C9F">
        <w:rPr>
          <w:sz w:val="22"/>
          <w:szCs w:val="22"/>
        </w:rPr>
        <w:t xml:space="preserve"> Facilities, ICT) will be alerted in order to share with those staff.</w:t>
      </w:r>
    </w:p>
    <w:p w14:paraId="3F3397FE" w14:textId="77777777" w:rsidR="00C00F7F" w:rsidRPr="00306C9F" w:rsidRDefault="00C00F7F" w:rsidP="00C00F7F">
      <w:pPr>
        <w:pStyle w:val="NormalWeb"/>
        <w:rPr>
          <w:iCs/>
          <w:color w:val="212121"/>
          <w:sz w:val="22"/>
          <w:szCs w:val="22"/>
        </w:rPr>
      </w:pPr>
      <w:r w:rsidRPr="00306C9F">
        <w:rPr>
          <w:b/>
          <w:bCs/>
          <w:iCs/>
          <w:color w:val="212121"/>
          <w:sz w:val="22"/>
          <w:szCs w:val="22"/>
        </w:rPr>
        <w:t>Academic and non-academic misconduct:</w:t>
      </w:r>
      <w:r w:rsidRPr="00306C9F">
        <w:rPr>
          <w:iCs/>
          <w:color w:val="212121"/>
          <w:sz w:val="22"/>
          <w:szCs w:val="22"/>
        </w:rPr>
        <w:t>  The Student Code of Conduct defines academic misconduct, non-academic misconduct and the consequences or penalties for each.  The Student Code of Conduct is available in the NMSU Student Handbook online:</w:t>
      </w:r>
    </w:p>
    <w:p w14:paraId="395AC6B0" w14:textId="77777777" w:rsidR="00C00F7F" w:rsidRPr="00306C9F" w:rsidRDefault="00660D56" w:rsidP="00C00F7F">
      <w:pPr>
        <w:pStyle w:val="NormalWeb"/>
        <w:rPr>
          <w:rStyle w:val="Hyperlink"/>
          <w:b/>
          <w:bCs/>
          <w:iCs/>
          <w:sz w:val="22"/>
          <w:szCs w:val="22"/>
        </w:rPr>
      </w:pPr>
      <w:hyperlink r:id="rId25" w:history="1">
        <w:r w:rsidR="00C00F7F" w:rsidRPr="00306C9F">
          <w:rPr>
            <w:rStyle w:val="Hyperlink"/>
            <w:b/>
            <w:bCs/>
            <w:iCs/>
            <w:sz w:val="22"/>
            <w:szCs w:val="22"/>
          </w:rPr>
          <w:t>http://studenthandbook.nmsu.edu/</w:t>
        </w:r>
      </w:hyperlink>
    </w:p>
    <w:p w14:paraId="6A85187D" w14:textId="77777777" w:rsidR="00C00F7F" w:rsidRPr="00306C9F" w:rsidRDefault="00C00F7F" w:rsidP="00C00F7F">
      <w:pPr>
        <w:pStyle w:val="NormalWeb"/>
        <w:rPr>
          <w:iCs/>
          <w:color w:val="212121"/>
          <w:sz w:val="22"/>
          <w:szCs w:val="22"/>
        </w:rPr>
      </w:pPr>
    </w:p>
    <w:p w14:paraId="0F09695A" w14:textId="77777777" w:rsidR="00C00F7F" w:rsidRPr="00306C9F" w:rsidRDefault="00C00F7F" w:rsidP="00C00F7F">
      <w:pPr>
        <w:pStyle w:val="NormalWeb"/>
        <w:rPr>
          <w:iCs/>
          <w:color w:val="212121"/>
          <w:sz w:val="22"/>
          <w:szCs w:val="22"/>
        </w:rPr>
      </w:pPr>
      <w:r w:rsidRPr="00306C9F">
        <w:rPr>
          <w:iCs/>
          <w:color w:val="212121"/>
          <w:sz w:val="22"/>
          <w:szCs w:val="22"/>
        </w:rPr>
        <w:t>Academic misconduct is explained here:</w:t>
      </w:r>
    </w:p>
    <w:p w14:paraId="771B516C" w14:textId="77777777" w:rsidR="00C00F7F" w:rsidRPr="00306C9F" w:rsidRDefault="00660D56" w:rsidP="00C00F7F">
      <w:pPr>
        <w:pStyle w:val="NormalWeb"/>
        <w:rPr>
          <w:rStyle w:val="Hyperlink"/>
          <w:b/>
          <w:bCs/>
          <w:iCs/>
          <w:sz w:val="22"/>
          <w:szCs w:val="22"/>
        </w:rPr>
      </w:pPr>
      <w:hyperlink r:id="rId26" w:history="1">
        <w:r w:rsidR="00C00F7F" w:rsidRPr="00306C9F">
          <w:rPr>
            <w:rStyle w:val="Hyperlink"/>
            <w:b/>
            <w:bCs/>
            <w:iCs/>
            <w:sz w:val="22"/>
            <w:szCs w:val="22"/>
          </w:rPr>
          <w:t>http://studenthandbook.nmsu.edu/student-code-of-conduct/academic-misconduct/</w:t>
        </w:r>
      </w:hyperlink>
    </w:p>
    <w:p w14:paraId="6E0F911F" w14:textId="77777777" w:rsidR="00C00F7F" w:rsidRPr="00306C9F" w:rsidRDefault="00C00F7F" w:rsidP="00C00F7F">
      <w:pPr>
        <w:pStyle w:val="NormalWeb"/>
        <w:rPr>
          <w:rStyle w:val="Hyperlink"/>
          <w:b/>
          <w:bCs/>
          <w:iCs/>
          <w:sz w:val="22"/>
          <w:szCs w:val="22"/>
        </w:rPr>
      </w:pPr>
    </w:p>
    <w:p w14:paraId="2AE77C4B" w14:textId="0E0AAF1A" w:rsidR="00C00F7F" w:rsidRPr="00306C9F" w:rsidRDefault="00C00F7F">
      <w:pPr>
        <w:spacing w:before="7"/>
        <w:ind w:left="160"/>
        <w:rPr>
          <w:b/>
        </w:rPr>
      </w:pPr>
      <w:r w:rsidRPr="00306C9F">
        <w:rPr>
          <w:noProof/>
        </w:rPr>
        <w:lastRenderedPageBreak/>
        <w:drawing>
          <wp:inline distT="0" distB="0" distL="0" distR="0" wp14:anchorId="4AEC4000" wp14:editId="64602BBF">
            <wp:extent cx="5943600" cy="7658100"/>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27"/>
                    <a:stretch>
                      <a:fillRect/>
                    </a:stretch>
                  </pic:blipFill>
                  <pic:spPr>
                    <a:xfrm>
                      <a:off x="0" y="0"/>
                      <a:ext cx="5943600" cy="7658100"/>
                    </a:xfrm>
                    <a:prstGeom prst="rect">
                      <a:avLst/>
                    </a:prstGeom>
                  </pic:spPr>
                </pic:pic>
              </a:graphicData>
            </a:graphic>
          </wp:inline>
        </w:drawing>
      </w:r>
    </w:p>
    <w:sectPr w:rsidR="00C00F7F" w:rsidRPr="00306C9F">
      <w:pgSz w:w="12240" w:h="15840"/>
      <w:pgMar w:top="144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EA4"/>
    <w:multiLevelType w:val="hybridMultilevel"/>
    <w:tmpl w:val="931AE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E3ABF"/>
    <w:multiLevelType w:val="hybridMultilevel"/>
    <w:tmpl w:val="FBDA68BE"/>
    <w:lvl w:ilvl="0" w:tplc="D6227498">
      <w:start w:val="1"/>
      <w:numFmt w:val="decimal"/>
      <w:lvlText w:val="%1."/>
      <w:lvlJc w:val="left"/>
      <w:pPr>
        <w:ind w:left="1240" w:hanging="360"/>
        <w:jc w:val="left"/>
      </w:pPr>
      <w:rPr>
        <w:rFonts w:ascii="Times New Roman" w:eastAsia="Times New Roman" w:hAnsi="Times New Roman" w:cs="Times New Roman" w:hint="default"/>
        <w:spacing w:val="0"/>
        <w:w w:val="99"/>
        <w:sz w:val="20"/>
        <w:szCs w:val="20"/>
        <w:lang w:val="en-US" w:eastAsia="en-US" w:bidi="ar-SA"/>
      </w:rPr>
    </w:lvl>
    <w:lvl w:ilvl="1" w:tplc="8FDECC6A">
      <w:numFmt w:val="bullet"/>
      <w:lvlText w:val="•"/>
      <w:lvlJc w:val="left"/>
      <w:pPr>
        <w:ind w:left="2080" w:hanging="360"/>
      </w:pPr>
      <w:rPr>
        <w:rFonts w:hint="default"/>
        <w:lang w:val="en-US" w:eastAsia="en-US" w:bidi="ar-SA"/>
      </w:rPr>
    </w:lvl>
    <w:lvl w:ilvl="2" w:tplc="8CCCE6DA">
      <w:numFmt w:val="bullet"/>
      <w:lvlText w:val="•"/>
      <w:lvlJc w:val="left"/>
      <w:pPr>
        <w:ind w:left="2920" w:hanging="360"/>
      </w:pPr>
      <w:rPr>
        <w:rFonts w:hint="default"/>
        <w:lang w:val="en-US" w:eastAsia="en-US" w:bidi="ar-SA"/>
      </w:rPr>
    </w:lvl>
    <w:lvl w:ilvl="3" w:tplc="D5361E5A">
      <w:numFmt w:val="bullet"/>
      <w:lvlText w:val="•"/>
      <w:lvlJc w:val="left"/>
      <w:pPr>
        <w:ind w:left="3760" w:hanging="360"/>
      </w:pPr>
      <w:rPr>
        <w:rFonts w:hint="default"/>
        <w:lang w:val="en-US" w:eastAsia="en-US" w:bidi="ar-SA"/>
      </w:rPr>
    </w:lvl>
    <w:lvl w:ilvl="4" w:tplc="BE9C1102">
      <w:numFmt w:val="bullet"/>
      <w:lvlText w:val="•"/>
      <w:lvlJc w:val="left"/>
      <w:pPr>
        <w:ind w:left="4600" w:hanging="360"/>
      </w:pPr>
      <w:rPr>
        <w:rFonts w:hint="default"/>
        <w:lang w:val="en-US" w:eastAsia="en-US" w:bidi="ar-SA"/>
      </w:rPr>
    </w:lvl>
    <w:lvl w:ilvl="5" w:tplc="C7489632">
      <w:numFmt w:val="bullet"/>
      <w:lvlText w:val="•"/>
      <w:lvlJc w:val="left"/>
      <w:pPr>
        <w:ind w:left="5440" w:hanging="360"/>
      </w:pPr>
      <w:rPr>
        <w:rFonts w:hint="default"/>
        <w:lang w:val="en-US" w:eastAsia="en-US" w:bidi="ar-SA"/>
      </w:rPr>
    </w:lvl>
    <w:lvl w:ilvl="6" w:tplc="9AE8605C">
      <w:numFmt w:val="bullet"/>
      <w:lvlText w:val="•"/>
      <w:lvlJc w:val="left"/>
      <w:pPr>
        <w:ind w:left="6280" w:hanging="360"/>
      </w:pPr>
      <w:rPr>
        <w:rFonts w:hint="default"/>
        <w:lang w:val="en-US" w:eastAsia="en-US" w:bidi="ar-SA"/>
      </w:rPr>
    </w:lvl>
    <w:lvl w:ilvl="7" w:tplc="11346ECC">
      <w:numFmt w:val="bullet"/>
      <w:lvlText w:val="•"/>
      <w:lvlJc w:val="left"/>
      <w:pPr>
        <w:ind w:left="7120" w:hanging="360"/>
      </w:pPr>
      <w:rPr>
        <w:rFonts w:hint="default"/>
        <w:lang w:val="en-US" w:eastAsia="en-US" w:bidi="ar-SA"/>
      </w:rPr>
    </w:lvl>
    <w:lvl w:ilvl="8" w:tplc="053C225A">
      <w:numFmt w:val="bullet"/>
      <w:lvlText w:val="•"/>
      <w:lvlJc w:val="left"/>
      <w:pPr>
        <w:ind w:left="7960" w:hanging="360"/>
      </w:pPr>
      <w:rPr>
        <w:rFonts w:hint="default"/>
        <w:lang w:val="en-US" w:eastAsia="en-US" w:bidi="ar-SA"/>
      </w:rPr>
    </w:lvl>
  </w:abstractNum>
  <w:abstractNum w:abstractNumId="2" w15:restartNumberingAfterBreak="0">
    <w:nsid w:val="79417D25"/>
    <w:multiLevelType w:val="hybridMultilevel"/>
    <w:tmpl w:val="9280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2B"/>
    <w:rsid w:val="00022737"/>
    <w:rsid w:val="000D038C"/>
    <w:rsid w:val="00164E7B"/>
    <w:rsid w:val="0017755A"/>
    <w:rsid w:val="001C665C"/>
    <w:rsid w:val="001D51B4"/>
    <w:rsid w:val="001E2ABA"/>
    <w:rsid w:val="001F5B1F"/>
    <w:rsid w:val="0022681C"/>
    <w:rsid w:val="00295824"/>
    <w:rsid w:val="002C411E"/>
    <w:rsid w:val="00306C9F"/>
    <w:rsid w:val="003C11F7"/>
    <w:rsid w:val="004328F2"/>
    <w:rsid w:val="00450398"/>
    <w:rsid w:val="00565D5B"/>
    <w:rsid w:val="00580065"/>
    <w:rsid w:val="00611687"/>
    <w:rsid w:val="00627DBA"/>
    <w:rsid w:val="00634493"/>
    <w:rsid w:val="00660D56"/>
    <w:rsid w:val="006C4946"/>
    <w:rsid w:val="00734860"/>
    <w:rsid w:val="007D43CD"/>
    <w:rsid w:val="009475FB"/>
    <w:rsid w:val="00986BD2"/>
    <w:rsid w:val="009C7015"/>
    <w:rsid w:val="00A13916"/>
    <w:rsid w:val="00A85DDC"/>
    <w:rsid w:val="00AA3AEA"/>
    <w:rsid w:val="00BE722B"/>
    <w:rsid w:val="00C00F7F"/>
    <w:rsid w:val="00C34845"/>
    <w:rsid w:val="00C738B4"/>
    <w:rsid w:val="00CC1550"/>
    <w:rsid w:val="00CE13F7"/>
    <w:rsid w:val="00DB3A25"/>
    <w:rsid w:val="00DD404A"/>
    <w:rsid w:val="00DD5334"/>
    <w:rsid w:val="00E64A57"/>
    <w:rsid w:val="00E8110B"/>
    <w:rsid w:val="00F5147D"/>
    <w:rsid w:val="00F8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8822"/>
  <w15:docId w15:val="{0FCAE3EF-6D9E-4E73-BB9A-96790F73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24" w:right="2386"/>
      <w:jc w:val="center"/>
      <w:outlineLvl w:val="0"/>
    </w:pPr>
    <w:rPr>
      <w:b/>
      <w:bCs/>
      <w:sz w:val="20"/>
      <w:szCs w:val="20"/>
    </w:rPr>
  </w:style>
  <w:style w:type="paragraph" w:styleId="Heading2">
    <w:name w:val="heading 2"/>
    <w:basedOn w:val="Normal"/>
    <w:next w:val="Normal"/>
    <w:link w:val="Heading2Char"/>
    <w:uiPriority w:val="9"/>
    <w:semiHidden/>
    <w:unhideWhenUsed/>
    <w:qFormat/>
    <w:rsid w:val="00C00F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00F7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40" w:hanging="361"/>
    </w:pPr>
  </w:style>
  <w:style w:type="paragraph" w:customStyle="1" w:styleId="TableParagraph">
    <w:name w:val="Table Paragraph"/>
    <w:basedOn w:val="Normal"/>
    <w:uiPriority w:val="1"/>
    <w:qFormat/>
    <w:pPr>
      <w:spacing w:line="183" w:lineRule="exact"/>
      <w:ind w:left="50"/>
    </w:pPr>
  </w:style>
  <w:style w:type="character" w:styleId="Hyperlink">
    <w:name w:val="Hyperlink"/>
    <w:basedOn w:val="DefaultParagraphFont"/>
    <w:uiPriority w:val="99"/>
    <w:unhideWhenUsed/>
    <w:rsid w:val="00DD404A"/>
    <w:rPr>
      <w:color w:val="0000FF" w:themeColor="hyperlink"/>
      <w:u w:val="single"/>
    </w:rPr>
  </w:style>
  <w:style w:type="character" w:customStyle="1" w:styleId="UnresolvedMention1">
    <w:name w:val="Unresolved Mention1"/>
    <w:basedOn w:val="DefaultParagraphFont"/>
    <w:uiPriority w:val="99"/>
    <w:semiHidden/>
    <w:unhideWhenUsed/>
    <w:rsid w:val="00DD404A"/>
    <w:rPr>
      <w:color w:val="605E5C"/>
      <w:shd w:val="clear" w:color="auto" w:fill="E1DFDD"/>
    </w:rPr>
  </w:style>
  <w:style w:type="character" w:customStyle="1" w:styleId="Heading2Char">
    <w:name w:val="Heading 2 Char"/>
    <w:basedOn w:val="DefaultParagraphFont"/>
    <w:link w:val="Heading2"/>
    <w:uiPriority w:val="9"/>
    <w:semiHidden/>
    <w:rsid w:val="00C00F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00F7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00F7F"/>
    <w:rPr>
      <w:sz w:val="24"/>
      <w:szCs w:val="24"/>
    </w:rPr>
  </w:style>
  <w:style w:type="character" w:customStyle="1" w:styleId="highlight">
    <w:name w:val="highlight"/>
    <w:basedOn w:val="DefaultParagraphFont"/>
    <w:rsid w:val="00C00F7F"/>
  </w:style>
  <w:style w:type="paragraph" w:customStyle="1" w:styleId="p1">
    <w:name w:val="p1"/>
    <w:basedOn w:val="Normal"/>
    <w:rsid w:val="00C00F7F"/>
    <w:pPr>
      <w:widowControl/>
      <w:autoSpaceDE/>
      <w:autoSpaceDN/>
      <w:spacing w:before="100" w:beforeAutospacing="1" w:after="100" w:afterAutospacing="1"/>
    </w:pPr>
    <w:rPr>
      <w:rFonts w:eastAsiaTheme="minorHAnsi"/>
      <w:sz w:val="24"/>
      <w:szCs w:val="24"/>
    </w:rPr>
  </w:style>
  <w:style w:type="character" w:styleId="Strong">
    <w:name w:val="Strong"/>
    <w:basedOn w:val="DefaultParagraphFont"/>
    <w:uiPriority w:val="22"/>
    <w:qFormat/>
    <w:rsid w:val="00C00F7F"/>
    <w:rPr>
      <w:b/>
      <w:bCs/>
    </w:rPr>
  </w:style>
  <w:style w:type="table" w:customStyle="1" w:styleId="GridTable1Light-Accent11">
    <w:name w:val="Grid Table 1 Light - Accent 11"/>
    <w:basedOn w:val="TableNormal"/>
    <w:uiPriority w:val="46"/>
    <w:rsid w:val="00627DBA"/>
    <w:pPr>
      <w:widowControl/>
      <w:autoSpaceDE/>
      <w:autoSpaceDN/>
    </w:pPr>
    <w:rPr>
      <w:rFonts w:eastAsiaTheme="minorEastAsia"/>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13916"/>
    <w:rPr>
      <w:sz w:val="16"/>
      <w:szCs w:val="16"/>
    </w:rPr>
  </w:style>
  <w:style w:type="paragraph" w:styleId="CommentText">
    <w:name w:val="annotation text"/>
    <w:basedOn w:val="Normal"/>
    <w:link w:val="CommentTextChar"/>
    <w:uiPriority w:val="99"/>
    <w:semiHidden/>
    <w:unhideWhenUsed/>
    <w:rsid w:val="00A13916"/>
    <w:rPr>
      <w:sz w:val="20"/>
      <w:szCs w:val="20"/>
    </w:rPr>
  </w:style>
  <w:style w:type="character" w:customStyle="1" w:styleId="CommentTextChar">
    <w:name w:val="Comment Text Char"/>
    <w:basedOn w:val="DefaultParagraphFont"/>
    <w:link w:val="CommentText"/>
    <w:uiPriority w:val="99"/>
    <w:semiHidden/>
    <w:rsid w:val="00A139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3916"/>
    <w:rPr>
      <w:b/>
      <w:bCs/>
    </w:rPr>
  </w:style>
  <w:style w:type="character" w:customStyle="1" w:styleId="CommentSubjectChar">
    <w:name w:val="Comment Subject Char"/>
    <w:basedOn w:val="CommentTextChar"/>
    <w:link w:val="CommentSubject"/>
    <w:uiPriority w:val="99"/>
    <w:semiHidden/>
    <w:rsid w:val="00A139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3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9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post@ad.nmsu.edu" TargetMode="External"/><Relationship Id="rId13" Type="http://schemas.openxmlformats.org/officeDocument/2006/relationships/hyperlink" Target="http://www.nmsupolice.com/" TargetMode="External"/><Relationship Id="rId18" Type="http://schemas.openxmlformats.org/officeDocument/2006/relationships/hyperlink" Target="http://studenttech.nmsu.edu/learnnmsuedu/" TargetMode="External"/><Relationship Id="rId26" Type="http://schemas.openxmlformats.org/officeDocument/2006/relationships/hyperlink" Target="http://studenthandbook.nmsu.edu/student-code-of-conduct/academic-misconduct/" TargetMode="External"/><Relationship Id="rId3" Type="http://schemas.openxmlformats.org/officeDocument/2006/relationships/settings" Target="settings.xml"/><Relationship Id="rId21" Type="http://schemas.openxmlformats.org/officeDocument/2006/relationships/hyperlink" Target="mailto:ppost@ad.nmsu.edu" TargetMode="External"/><Relationship Id="rId7" Type="http://schemas.openxmlformats.org/officeDocument/2006/relationships/hyperlink" Target="https://dos.nmsu.edu/concerns/" TargetMode="External"/><Relationship Id="rId12" Type="http://schemas.openxmlformats.org/officeDocument/2006/relationships/hyperlink" Target="http://eeo.nmsu.edu/" TargetMode="External"/><Relationship Id="rId17" Type="http://schemas.openxmlformats.org/officeDocument/2006/relationships/hyperlink" Target="http://studenttech.nmsu.edu/" TargetMode="External"/><Relationship Id="rId25" Type="http://schemas.openxmlformats.org/officeDocument/2006/relationships/hyperlink" Target="http://studenthandbook.nmsu.edu/" TargetMode="External"/><Relationship Id="rId2" Type="http://schemas.openxmlformats.org/officeDocument/2006/relationships/styles" Target="styles.xml"/><Relationship Id="rId16" Type="http://schemas.openxmlformats.org/officeDocument/2006/relationships/hyperlink" Target="mailto:helpdesk@nmsu.edu" TargetMode="External"/><Relationship Id="rId20" Type="http://schemas.openxmlformats.org/officeDocument/2006/relationships/hyperlink" Target="https://dos.nmsu.edu/concer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s@nmsu.edu" TargetMode="External"/><Relationship Id="rId11" Type="http://schemas.openxmlformats.org/officeDocument/2006/relationships/hyperlink" Target="mailto:equity@nmsu.edu" TargetMode="External"/><Relationship Id="rId24" Type="http://schemas.openxmlformats.org/officeDocument/2006/relationships/hyperlink" Target="https://safety.nmsu.edu/wp-content/uploads/sites/72/2020/06/NMSU-Reporting-of-COVID-19-and-Notifications-f-06-08-2020.pdf" TargetMode="External"/><Relationship Id="rId5" Type="http://schemas.openxmlformats.org/officeDocument/2006/relationships/hyperlink" Target="https://www.amazon.com/Stephen-M.-Stahl/e/B003DO4CE0/ref%3Ddp_byline_cont_book_1" TargetMode="External"/><Relationship Id="rId15" Type="http://schemas.openxmlformats.org/officeDocument/2006/relationships/hyperlink" Target="https://ssemweb-p.nmsu.edu/" TargetMode="External"/><Relationship Id="rId23" Type="http://schemas.openxmlformats.org/officeDocument/2006/relationships/hyperlink" Target="mailto:davidcar@nmsu.edu" TargetMode="External"/><Relationship Id="rId28" Type="http://schemas.openxmlformats.org/officeDocument/2006/relationships/fontTable" Target="fontTable.xml"/><Relationship Id="rId10" Type="http://schemas.openxmlformats.org/officeDocument/2006/relationships/hyperlink" Target="http://sas.nmsu.edu/" TargetMode="External"/><Relationship Id="rId19" Type="http://schemas.openxmlformats.org/officeDocument/2006/relationships/hyperlink" Target="http://learn.nmsu.edu" TargetMode="External"/><Relationship Id="rId4" Type="http://schemas.openxmlformats.org/officeDocument/2006/relationships/webSettings" Target="webSettings.xml"/><Relationship Id="rId9" Type="http://schemas.openxmlformats.org/officeDocument/2006/relationships/hyperlink" Target="mailto:sas@nmsu.edu" TargetMode="External"/><Relationship Id="rId14" Type="http://schemas.openxmlformats.org/officeDocument/2006/relationships/hyperlink" Target="https://www.nmsu.edu/inside/current-students/" TargetMode="External"/><Relationship Id="rId22" Type="http://schemas.openxmlformats.org/officeDocument/2006/relationships/hyperlink" Target="mailto:davidcar@nmsu.edu" TargetMode="External"/><Relationship Id="rId2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Marlin Hoover</dc:creator>
  <cp:lastModifiedBy>Elaine S LeVine</cp:lastModifiedBy>
  <cp:revision>2</cp:revision>
  <dcterms:created xsi:type="dcterms:W3CDTF">2021-02-16T22:01:00Z</dcterms:created>
  <dcterms:modified xsi:type="dcterms:W3CDTF">2021-02-16T22:01:00Z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for Microsoft 365</vt:lpwstr>
  </property>
  <property fmtid="{D5CDD505-2E9C-101B-9397-08002B2CF9AE}" pid="4" name="LastSaved">
    <vt:filetime>2020-11-04T00:00:00Z</vt:filetime>
  </property>
</Properties>
</file>